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8C" w:rsidRDefault="000F658C" w:rsidP="000F658C">
      <w:pPr>
        <w:pStyle w:val="NormalWeb"/>
        <w:rPr>
          <w:rFonts w:ascii="Verdana" w:hAnsi="Verdana"/>
          <w:color w:val="000000"/>
          <w:sz w:val="15"/>
          <w:szCs w:val="15"/>
        </w:rPr>
      </w:pPr>
      <w:r>
        <w:rPr>
          <w:rFonts w:ascii="Verdana" w:hAnsi="Verdana"/>
          <w:color w:val="000000"/>
          <w:sz w:val="15"/>
          <w:szCs w:val="15"/>
        </w:rPr>
        <w:t> </w:t>
      </w:r>
    </w:p>
    <w:p w:rsidR="000F658C" w:rsidRDefault="000F658C" w:rsidP="000F658C">
      <w:pPr>
        <w:pStyle w:val="NormalWeb"/>
        <w:rPr>
          <w:rFonts w:ascii="Verdana" w:hAnsi="Verdana"/>
          <w:color w:val="000000"/>
          <w:sz w:val="15"/>
          <w:szCs w:val="15"/>
        </w:rPr>
      </w:pPr>
    </w:p>
    <w:p w:rsidR="000F658C" w:rsidRDefault="000F658C" w:rsidP="000F658C">
      <w:pPr>
        <w:pStyle w:val="NormalWeb"/>
        <w:rPr>
          <w:rFonts w:ascii="Verdana" w:hAnsi="Verdana"/>
          <w:color w:val="000000"/>
          <w:sz w:val="15"/>
          <w:szCs w:val="15"/>
        </w:rPr>
      </w:pPr>
      <w:r>
        <w:rPr>
          <w:rFonts w:ascii="Verdana" w:hAnsi="Verdana"/>
          <w:color w:val="000000"/>
          <w:sz w:val="15"/>
          <w:szCs w:val="15"/>
        </w:rPr>
        <w:t>YARGITAY 9. HUKUK DAİRESİ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İÇTİHAT FARKLILIKLARININ GÖRÜŞÜLMESİ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EYLÜL 2020</w:t>
      </w:r>
    </w:p>
    <w:p w:rsidR="000F658C" w:rsidRDefault="000F658C" w:rsidP="000F658C">
      <w:pPr>
        <w:pStyle w:val="NormalWeb"/>
        <w:rPr>
          <w:rFonts w:ascii="Verdana" w:hAnsi="Verdana"/>
          <w:color w:val="000000"/>
          <w:sz w:val="15"/>
          <w:szCs w:val="15"/>
        </w:rPr>
      </w:pPr>
      <w:r>
        <w:rPr>
          <w:rFonts w:ascii="Verdana" w:hAnsi="Verdana"/>
          <w:color w:val="000000"/>
          <w:sz w:val="15"/>
          <w:szCs w:val="15"/>
        </w:rPr>
        <w:t>Yargıtay 22. Hukuk Dairesinin kapatılması sonrasında Başkan ve Üyelerinin Yargıtay 9.Hukuk Dairesinde görevlendirilmesi üzerine her iki Daire kararlarında uyuşmazlık konusu hususlar görüşülmüş ve uygulamanın aşağıdaki gibi birleştirilmesine karar verilmiştir: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1.Hafta tatili günü olarak kararlaştırılan Cumartesi gününün yıllık izin hesabında değerlendirilmesi: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4857 sayılı İş Kanunu’nun 46 ve 63. maddelerine göre hafta tatili haftalık 45 saatlik çalışmadan sonraki 24 saatlik bir gündür. Bu nedenle kural olarak Cumartesi işgünüdür. Akdi tatil günü olarak Cumartesi günleri yıllık izin süresine eklenmez. Başka bir anlatımla, Cumartesi günleri akdi tatil günü olarak işçi çalışmadığı takdirde yıllık ücretli izin süresine ilişkin hesapta hafta tatili olarak değerlendirilemez.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Cumartesi günü hafta tatili olarak da </w:t>
      </w:r>
      <w:proofErr w:type="spellStart"/>
      <w:proofErr w:type="gramStart"/>
      <w:r>
        <w:rPr>
          <w:rFonts w:ascii="Verdana" w:hAnsi="Verdana"/>
          <w:color w:val="000000"/>
          <w:sz w:val="15"/>
          <w:szCs w:val="15"/>
        </w:rPr>
        <w:t>kararlaştırılabilir.Bireysel</w:t>
      </w:r>
      <w:proofErr w:type="spellEnd"/>
      <w:proofErr w:type="gramEnd"/>
      <w:r>
        <w:rPr>
          <w:rFonts w:ascii="Verdana" w:hAnsi="Verdana"/>
          <w:color w:val="000000"/>
          <w:sz w:val="15"/>
          <w:szCs w:val="15"/>
        </w:rPr>
        <w:t xml:space="preserve"> veya toplu iş sözleşmeleriyle Cumartesi ve Pazar günleri hafta tatili günü olarak belirlenmişse, İş Kanunu'nun 56/5. maddesi gereği her iki gün yıllık izin sürelerinden sayılmaz. Başka bir anlatımla yıllık izin kullanma dönemi içindeki Cumartesi ve Pazar günleri kullanılan izin süresinden düşülür. Ancak bireysel veya toplu iş sözleşmesinde hafta tatiline eklenen bu Cumartesi gününün yıllık izin hesabında iş günü olarak sayılacağı veya izin süresinden düşülmeyeceği şeklinde açık bir kural mevcutsa, bu hüküm geçerli sayılmalı ve İş Kanunu'nun 56/5. maddesi gereği sadece yıllık izne rastlayan Pazar günleri izin süresinden düşülmelidir.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2.İmzasız ve fazla çalışma tahakkukunu içeren bordronun aksinin her türlü delille ispatı:</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Fazla çalışma ücreti ile hafta tatili, ulusal bayram ve genel tatil ücreti tahakkuklarını içeren ve işçinin imzasını taşımayan bordronun aksi işçi tarafından tanık beyanı </w:t>
      </w:r>
      <w:proofErr w:type="gramStart"/>
      <w:r>
        <w:rPr>
          <w:rFonts w:ascii="Verdana" w:hAnsi="Verdana"/>
          <w:color w:val="000000"/>
          <w:sz w:val="15"/>
          <w:szCs w:val="15"/>
        </w:rPr>
        <w:t>dahil</w:t>
      </w:r>
      <w:proofErr w:type="gramEnd"/>
      <w:r>
        <w:rPr>
          <w:rFonts w:ascii="Verdana" w:hAnsi="Verdana"/>
          <w:color w:val="000000"/>
          <w:sz w:val="15"/>
          <w:szCs w:val="15"/>
        </w:rPr>
        <w:t xml:space="preserve"> her türlü delille ispat edilebilir. Bu durumda yapılan ödemeler hesaplamadan mahsup edilir.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3.Deniz İş Kanunu’nda fazla çalışma hesabı:</w:t>
      </w:r>
    </w:p>
    <w:p w:rsidR="000F658C" w:rsidRDefault="000F658C" w:rsidP="000F658C">
      <w:pPr>
        <w:pStyle w:val="NormalWeb"/>
        <w:rPr>
          <w:rFonts w:ascii="Verdana" w:hAnsi="Verdana"/>
          <w:color w:val="000000"/>
          <w:sz w:val="15"/>
          <w:szCs w:val="15"/>
        </w:rPr>
      </w:pPr>
      <w:r>
        <w:rPr>
          <w:rFonts w:ascii="Verdana" w:hAnsi="Verdana"/>
          <w:color w:val="000000"/>
          <w:sz w:val="15"/>
          <w:szCs w:val="15"/>
        </w:rPr>
        <w:t>20.04.1967 tarih ve 854 sayılı Deniz İş Kanunu’nun 28.maddesine göre bu kanuna göre tespit edilmiş bulunan iş sürelerinin aşılması suretiyle yapılan çalışmalar, fazla saatlerde çalışma sayılır. Aynı maddenin 2.fıkrasında yapılacak fazla çalışmanın her saatine ödenecek ücret normal çalışma ücretinin saat başına düşen miktarı % 25 oranında artırılmak suretiyle bulunacak miktardan az olamayacağı düzenlenmiştir. 01.07.2012 tarih ve 6098 sayılı Türk Borçlar Kanunu’nun 402.maddesinde fazla mesai alacağının %50 zamlı hesaplanacağı düzenlenmişse de, Deniz İş Kanunu kapsamında</w:t>
      </w:r>
    </w:p>
    <w:p w:rsidR="000F658C" w:rsidRDefault="000F658C" w:rsidP="000F658C">
      <w:pPr>
        <w:pStyle w:val="NormalWeb"/>
        <w:rPr>
          <w:rFonts w:ascii="Verdana" w:hAnsi="Verdana"/>
          <w:color w:val="000000"/>
          <w:sz w:val="15"/>
          <w:szCs w:val="15"/>
        </w:rPr>
      </w:pPr>
      <w:r>
        <w:rPr>
          <w:rFonts w:ascii="Verdana" w:hAnsi="Verdana"/>
          <w:color w:val="000000"/>
          <w:sz w:val="15"/>
          <w:szCs w:val="15"/>
        </w:rPr>
        <w:t>2</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deniz</w:t>
      </w:r>
      <w:proofErr w:type="gramEnd"/>
      <w:r>
        <w:rPr>
          <w:rFonts w:ascii="Verdana" w:hAnsi="Verdana"/>
          <w:color w:val="000000"/>
          <w:sz w:val="15"/>
          <w:szCs w:val="15"/>
        </w:rPr>
        <w:t xml:space="preserve"> taşıma işlerinde çalışan işçilere Deniz İş Kanunu hükümlerinin genel kanun niteliğindeki Türk Borçlar Kanunu karşısında uygulanma önceliği vardır. Uluslararası Çalışma Örgütü’nün 180 sayılı sözleşmesine ek olarak çıkarılmış olan 187 sayılı tavsiye kararının “Gemi Adamlarının Ücretleri” başlıklı II. Bölümünün 3. maddesinin c bendinde fazla çalışmanın saat başına ödenecek temel ücretin 1,25’inden az olmamak üzere yasal düzenlemeler veya toplu sözleşmelerle belirleneceği belirtilmiştir. Deniz İş Kanunu’nun yukarıda belirtilen hükmü uluslararası düzenlemelere de uygun düşmektedir. Buna göre hesaplama % 25 zamlı ücretle yapılmalıdır.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4.Fazla çalışma, hafta tatili ve genel tatil alacaklarının ispatında husumetli tanık beyanlarının değerlendirilmesi: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Çalışma sürelerinin ispatı noktasında işverene karşı dava açan tanıkların beyanlarına ihtiyatla yaklaşılması gerekir. Fazla çalışma, hafta ve genel tatili alacaklarının ispatında salt husumetli tanık beyanlarıyla sonuca gidilemez. Bununla birlikte yan delil ya da olgularla desteklenen husumetli tanık beyanlarına itibar edilmelidir. Bu çerçevede; işin ve işyerinin özellikleri, davalı tanıklarının anlatımları, iş müfettişinin düzenlediği tutanak veya raporlar ve aynı çalışma dönemi ile ilgili olarak söz konusu alacakların varlığına ilişkin kesinleşmiş mahkeme kararları gibi hususlar yan delil ya da olgular olarak değerlendirilebilir.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5.Hafta tatilinin toplu kullandırılmasında hafta tatili alacağının hesaplanması:</w:t>
      </w:r>
    </w:p>
    <w:p w:rsidR="000F658C" w:rsidRDefault="000F658C" w:rsidP="000F658C">
      <w:pPr>
        <w:pStyle w:val="NormalWeb"/>
        <w:rPr>
          <w:rFonts w:ascii="Verdana" w:hAnsi="Verdana"/>
          <w:color w:val="000000"/>
          <w:sz w:val="15"/>
          <w:szCs w:val="15"/>
        </w:rPr>
      </w:pPr>
      <w:r>
        <w:rPr>
          <w:rFonts w:ascii="Verdana" w:hAnsi="Verdana"/>
          <w:color w:val="000000"/>
          <w:sz w:val="15"/>
          <w:szCs w:val="15"/>
        </w:rPr>
        <w:t>Uygulamada genellikle işçinin yerleşim yerinin uzağında bir işyerinde çalışması halinde hafta tatilinin ay içinde toplu olarak kullandırıldığı bilinmektedir. Bu tür bir uygulama için işçinin rızası alınmış olsa bile hafta tatilinin usulüne uygun kullandırıldığından söz edilemez. Başka bir anlatımla hafta tatilinin toplu olarak kullandırılması haftalık dinlenme hakkının özüne aykırı olup, işçinin rızası sonucu değiştirmez.</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Hafta tatilinin ay içinde toplu olarak kullandırılması halinde sadece bir hafta tatilinin usulüne uygun kullandırıldığı kabul edilebilir. Örneğin, yerleşim yeri uzağında olan bir şantiyede çalışan işçiye hafta tatili ayda dört gün toplu olarak kullandırıldığında ilk izin günü, çalışılan son haftanın dinlenme hakkı yerine geçecek, diğer üç gün hafta tatili kullanma anlamında değerlendirilmeyecektir. Usulüne uygun kullandırılmadığı kabul edilen hafta tatillerinde yapılan çalışma karşılığı ücretin %50 zamlı olarak hesaplanması gerekir. Bununla birlikte, işyerinin konumu ve işçinin isteğiyle gerçekleşen böyle bir uygulamada, hafta tatili olarak değerlendirilmeyen süreler için ödenen ücretin mahsup edilmesi hakkaniyete uygun düşer.</w:t>
      </w:r>
    </w:p>
    <w:p w:rsidR="000F658C" w:rsidRDefault="000F658C" w:rsidP="000F658C">
      <w:pPr>
        <w:pStyle w:val="NormalWeb"/>
        <w:rPr>
          <w:rFonts w:ascii="Verdana" w:hAnsi="Verdana"/>
          <w:color w:val="000000"/>
          <w:sz w:val="15"/>
          <w:szCs w:val="15"/>
        </w:rPr>
      </w:pPr>
      <w:r>
        <w:rPr>
          <w:rFonts w:ascii="Verdana" w:hAnsi="Verdana"/>
          <w:color w:val="000000"/>
          <w:sz w:val="15"/>
          <w:szCs w:val="15"/>
        </w:rPr>
        <w:t>6.Uzun süre yıllık ücretli izin kullandırılmadığı iddialarında hâkimin aydınlatma ödevi kapsamında davacı asilin dinlenmesinin gerekip gerekmediği:</w:t>
      </w:r>
    </w:p>
    <w:p w:rsidR="000F658C" w:rsidRDefault="000F658C" w:rsidP="000F658C">
      <w:pPr>
        <w:pStyle w:val="NormalWeb"/>
        <w:rPr>
          <w:rFonts w:ascii="Verdana" w:hAnsi="Verdana"/>
          <w:color w:val="000000"/>
          <w:sz w:val="15"/>
          <w:szCs w:val="15"/>
        </w:rPr>
      </w:pPr>
      <w:r>
        <w:rPr>
          <w:rFonts w:ascii="Verdana" w:hAnsi="Verdana"/>
          <w:color w:val="000000"/>
          <w:sz w:val="15"/>
          <w:szCs w:val="15"/>
        </w:rPr>
        <w:t>İşçinin uzun süre yıllık izin kullandırılmadığı iddiaları karşısında 6100 sayılı Hukuk Muhakemeleri Kanunu’nun 31.maddesinde öngörülen davayı aydınlatma ödevi çerçevesinde hâkimin davacı işçiyi bizzat dinleyerek çalışma ve dinlenme süreleri konusunu açıklığa kavuşturması gerekir. Dairemizce uzun süre kavramı beş yıl ve daha fazla süre olarak değerlendirilmiş olup, kullandırılmadığı iddia edilen izin</w:t>
      </w:r>
    </w:p>
    <w:p w:rsidR="000F658C" w:rsidRDefault="000F658C" w:rsidP="000F658C">
      <w:pPr>
        <w:pStyle w:val="NormalWeb"/>
        <w:rPr>
          <w:rFonts w:ascii="Verdana" w:hAnsi="Verdana"/>
          <w:color w:val="000000"/>
          <w:sz w:val="15"/>
          <w:szCs w:val="15"/>
        </w:rPr>
      </w:pPr>
      <w:r>
        <w:rPr>
          <w:rFonts w:ascii="Verdana" w:hAnsi="Verdana"/>
          <w:color w:val="000000"/>
          <w:sz w:val="15"/>
          <w:szCs w:val="15"/>
        </w:rPr>
        <w:t>3</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süresinin</w:t>
      </w:r>
      <w:proofErr w:type="gramEnd"/>
      <w:r>
        <w:rPr>
          <w:rFonts w:ascii="Verdana" w:hAnsi="Verdana"/>
          <w:color w:val="000000"/>
          <w:sz w:val="15"/>
          <w:szCs w:val="15"/>
        </w:rPr>
        <w:t xml:space="preserve"> toplamda beş yıllık veya daha fazla olması halinde anılan hüküm çerçevesinde uygulama yapılmalıdır.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7.Yıllık ücretli izin alacağı yönünden 6098 tarihli Türk Borçlar Kanunu’nun yürürlüğe girdiği 01.07.2012 tarihi ile zamanaşımı süresini 5 yıla indiren 7036 sayılı İş Mahkemeleri Kanunu’nun yürürlüğe girdiği 25.10.2017 tarihi arasındaki dönem için zamanaşımı sorunu:</w:t>
      </w:r>
    </w:p>
    <w:p w:rsidR="000F658C" w:rsidRDefault="000F658C" w:rsidP="000F658C">
      <w:pPr>
        <w:pStyle w:val="NormalWeb"/>
        <w:rPr>
          <w:rFonts w:ascii="Verdana" w:hAnsi="Verdana"/>
          <w:color w:val="000000"/>
          <w:sz w:val="15"/>
          <w:szCs w:val="15"/>
        </w:rPr>
      </w:pPr>
      <w:r>
        <w:rPr>
          <w:rFonts w:ascii="Verdana" w:hAnsi="Verdana"/>
          <w:color w:val="000000"/>
          <w:sz w:val="15"/>
          <w:szCs w:val="15"/>
        </w:rPr>
        <w:t>4857 sayılı İş Kanunu’nun “Sözleşmenin sona ermesinde izin ücreti” başlığını taşıyan 59. maddesine göre, “iş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 Belirtilen düzenlemede iş sözleşmesinin sona ermesi halinde kullandırılmamış olan yıllık izin sürelerine ait ücretin “ücret” niteliği özellikle vurgulanmıştır.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İş Kanunu’nun 32. maddesinin 6. fıkrasına göre iş sözleşmelerinin sona ermesinde, işçinin ücreti ile sözleşme ve Kanundan doğan para ile ölçülmesi mümkün menfaatlerinin tam olarak ödenmesi zorunludur. Aynı maddenin 8. fıkrasına göre ise, ücret alacaklarında zamanaşımı süresi beş yıldır.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Mülga 818 sayılı Borçlar Kanunu’nun 126.maddesinin 3.bendine göre, başkalarının maiyetinde çalışan veya müstahdemi olan kimselerin, hizmetçilerin, yevmiyecilerin ve işçilerin ücretleri hakkındaki davaların beş yıllık zamanaşımına tabi olduğu belirtilmişti. Yargıtay da anılan düzenleme uyarınca yıllık izin ücretinin beş yıllık zamanaşımına tabi olduğunu kabul etmekteydi. 6098 sayılı Türk Borçlar Kanunu’nun yürürlüğe girdiği 01.07.2012 tarihinden sonra anılan Kanunda 818 sayılı Borçlar Kanunu’nun 126/3 hükmüne yer verilmediği gerekçesiyle yıllık izin ücretinin Türk Borçlar Kanunu’nun 146. maddesinde düzenlenen on yıllık genel zamanaşımına tabi olacağı ileri sürülmüştür. Ancak Türk Borçlar Kanunu’nun 147. maddesinin gerekçesinde hizmet sözleşmesi hükümlerine göre çalışanların “dönemsel edimler” niteliğindeki ücret alacaklarının aynı maddenin 1. bendi kapsamına girmesi nedeniyle 818 sayılı Borçlar Kanunu’nun 126. maddesinin 3. bendindeki hükmün ayrıca düzenlenmesine gerek görülmediği belirtilmiştir. 6098 sayılı Türk Borçlar Kanunu’nun 147.maddesinin 1.bendine göre, “Kira bedelleri, anapara faizleri ve ücret gibi diğer dönemsel edimler” beş yıllık zamanaşımına tabidir. Yıllık ücretli izin dönemsel edim niteliğinde olup, buna ait ücret hakkında da anılan hüküm uygulanmalıdır. Nitekim 12.10.2017 tarih ve 7036 sayılı İş Mahkemeleri Kanunu’nun 15. maddesi ile İş Kanunu’na eklenen ek 3. maddede de yıllık izin ücretinin beş yıllık zamanaşımına tabi olduğu açıkça düzenlenmiştir. Buna göre Türk Borçlar Kanunu’nun yürürlüğe girdiği tarih ile İş Mahkemeleri Kanunu’nun yürürlüğe girdiği tarih arasındaki dönemde de yıllık izin ücretinin tabi olduğu zamanaşımı süresi beş yıldır.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8. Yurt dışında çalışan işçiler bakımından işverenin işçinin çalıştırıldığı ülke mevzuatına göre resmi tatil olan günde işçiyi çalıştırmaması halinde, bu günlere ait çalışılmadan hak kazanılan ücret miktarının, ülkemiz ulusal bayram ve genel tatillerinde çalışılarak hak kazanılan genel tatil ücreti alacağından mahsubunun gerekip gerekmediği:</w:t>
      </w:r>
    </w:p>
    <w:p w:rsidR="000F658C" w:rsidRDefault="000F658C" w:rsidP="000F658C">
      <w:pPr>
        <w:pStyle w:val="NormalWeb"/>
        <w:rPr>
          <w:rFonts w:ascii="Verdana" w:hAnsi="Verdana"/>
          <w:color w:val="000000"/>
          <w:sz w:val="15"/>
          <w:szCs w:val="15"/>
        </w:rPr>
      </w:pPr>
      <w:r>
        <w:rPr>
          <w:rFonts w:ascii="Verdana" w:hAnsi="Verdana"/>
          <w:color w:val="000000"/>
          <w:sz w:val="15"/>
          <w:szCs w:val="15"/>
        </w:rPr>
        <w:t>4</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 xml:space="preserve">Yurt dışında Türk firmasına ait işyerinde çalışan Türk işçisi ile işvereni arasındaki uyuşmazlıklarda 5718 sayılı Milletlerarası Özel Usul Hukuk ve Usul Hakkında Kanunu’nun 27.maddesi uyarınca milli hukukun uygulanması söz konusu olduğunda yabancı ülke mevzuatına göre milli ve dini tatil günleri için çalışma karşılığı olmaksızın ücret ödenen işçiye ayrıca Türk mevzuatı uyarınca milli ve dini bayram ücretinin ödenmesi mükerrer yararlanmaya yol açar. </w:t>
      </w:r>
      <w:proofErr w:type="gramEnd"/>
      <w:r>
        <w:rPr>
          <w:rFonts w:ascii="Verdana" w:hAnsi="Verdana"/>
          <w:color w:val="000000"/>
          <w:sz w:val="15"/>
          <w:szCs w:val="15"/>
        </w:rPr>
        <w:t>Bu nedenle, yabancı ülke mevzuatı uyarınca ödenmiş olan tatil ücretleri, Türk mevzuatının öngördüğü ulusal bayram ve genel tatil günlerindeki çalışma karşılığı olarak hesaplanan ücretten mahsup edilmelidir.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9. Orman yangın işçileri ile gözetleme kulelerinde nöbet tutan işçilerin </w:t>
      </w:r>
      <w:proofErr w:type="spellStart"/>
      <w:r>
        <w:rPr>
          <w:rFonts w:ascii="Verdana" w:hAnsi="Verdana"/>
          <w:color w:val="000000"/>
          <w:sz w:val="15"/>
          <w:szCs w:val="15"/>
        </w:rPr>
        <w:t>TİS’de</w:t>
      </w:r>
      <w:proofErr w:type="spellEnd"/>
      <w:r>
        <w:rPr>
          <w:rFonts w:ascii="Verdana" w:hAnsi="Verdana"/>
          <w:color w:val="000000"/>
          <w:sz w:val="15"/>
          <w:szCs w:val="15"/>
        </w:rPr>
        <w:t xml:space="preserve"> öngörülen günlük üç saatlik fazla mesaiden daha fazla mesai ücreti verilmesi gerektiğine dair taleplerinin değerlendirilmesi:</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 xml:space="preserve">6831 sayılı Orman Kanunu’nun, 19.04.2018 tarih ve 7139 sayılı Kanun’un 15. maddesi ile değişik, 72. maddesine göre orman yangınlarını önleme ve söndürme işlerinde görevlendirilen işçilerin, orman yangın ekip bina ve yangın gözetleme kulelerinde bulunan sosyal tesisler ve lojmanlarda çalışma saatleri dışında geçirdiği süreler, 22.05.2003 tarih ve 4857 </w:t>
      </w:r>
      <w:r>
        <w:rPr>
          <w:rFonts w:ascii="Verdana" w:hAnsi="Verdana"/>
          <w:color w:val="000000"/>
          <w:sz w:val="15"/>
          <w:szCs w:val="15"/>
        </w:rPr>
        <w:lastRenderedPageBreak/>
        <w:t xml:space="preserve">sayılı İş Kanununun 63. maddesinde düzenlenen çalışma süresinden sayılmaz. </w:t>
      </w:r>
      <w:proofErr w:type="gramEnd"/>
      <w:r>
        <w:rPr>
          <w:rFonts w:ascii="Verdana" w:hAnsi="Verdana"/>
          <w:color w:val="000000"/>
          <w:sz w:val="15"/>
          <w:szCs w:val="15"/>
        </w:rPr>
        <w:t xml:space="preserve">Bununla birlikte, işin niteliği dikkate alınarak belirtilen sürelerin bir kısmının ya da tamamının çalışma süresinden sayılması kararlaştırılabilir. Nitekim orman yangın işçileri ile gözetleme kulelerinde görev yapan işçilere toplu iş sözleşmesi gereği fazla çalışma yapılsın veya yapılmasın günde üç saatlik fazla çalışma ücreti ödenmektedir. İşçinin günde üç saatten daha fazla çalıştığının yazılı delille (görev emirleri, çizelgeler, puantaj kaydı </w:t>
      </w:r>
      <w:proofErr w:type="spellStart"/>
      <w:r>
        <w:rPr>
          <w:rFonts w:ascii="Verdana" w:hAnsi="Verdana"/>
          <w:color w:val="000000"/>
          <w:sz w:val="15"/>
          <w:szCs w:val="15"/>
        </w:rPr>
        <w:t>vs</w:t>
      </w:r>
      <w:proofErr w:type="spellEnd"/>
      <w:r>
        <w:rPr>
          <w:rFonts w:ascii="Verdana" w:hAnsi="Verdana"/>
          <w:color w:val="000000"/>
          <w:sz w:val="15"/>
          <w:szCs w:val="15"/>
        </w:rPr>
        <w:t>) ispatı halinde fazlasının ödenmesi gerekir. Aksi halde salt tanık beyanlarına göre fazla çalışma yapıldığının ispatı kabul edilemez.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10. Siyasi Partiler Kanunu'na göre genel merkezin sorumluluğu:</w:t>
      </w:r>
    </w:p>
    <w:p w:rsidR="000F658C" w:rsidRDefault="000F658C" w:rsidP="000F658C">
      <w:pPr>
        <w:pStyle w:val="NormalWeb"/>
        <w:rPr>
          <w:rFonts w:ascii="Verdana" w:hAnsi="Verdana"/>
          <w:color w:val="000000"/>
          <w:sz w:val="15"/>
          <w:szCs w:val="15"/>
        </w:rPr>
      </w:pPr>
      <w:r>
        <w:rPr>
          <w:rFonts w:ascii="Verdana" w:hAnsi="Verdana"/>
          <w:color w:val="000000"/>
          <w:sz w:val="15"/>
          <w:szCs w:val="15"/>
        </w:rPr>
        <w:t>2820 sayılı Siyasi Partiler Kanunu'nun 71. maddesine göre siyasi parti il veya ilçe teşkilatları tarafından yapılan sözleşmeler, merkez karar ve yönetim kurulu tarafından izin veya onay verilmediği sürece siyasi parti tüzel kişiliğini bağlamaz.</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Kanun'da 2016 yılında yapılan değişlikle "hizmet sözleşmeleri de </w:t>
      </w:r>
      <w:proofErr w:type="gramStart"/>
      <w:r>
        <w:rPr>
          <w:rFonts w:ascii="Verdana" w:hAnsi="Verdana"/>
          <w:color w:val="000000"/>
          <w:sz w:val="15"/>
          <w:szCs w:val="15"/>
        </w:rPr>
        <w:t>dahil</w:t>
      </w:r>
      <w:proofErr w:type="gramEnd"/>
      <w:r>
        <w:rPr>
          <w:rFonts w:ascii="Verdana" w:hAnsi="Verdana"/>
          <w:color w:val="000000"/>
          <w:sz w:val="15"/>
          <w:szCs w:val="15"/>
        </w:rPr>
        <w:t>" ibaresi eklenmiş olmakla, iş sözleşmeleri bakımından da izin ve onay şartı kesin olarak öngörülmüştür. Bu durumda il veya ilçe teşkilatlarında çalıştırılan işçiler bakımından sorumluluk, Kanun gereği sözleşmeyi yapan ve yükümlülük altına giren kişi veya kişilere ait olmalıdır.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11. Okul aile birliklerinde husumet ve sorumluluğun belirlenmesi: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Okul aile birliğinin tüzel kişiliği olmasa da İş Kanunu'nun 2. maddesine göre tüzel kişiliği olmayan kurum ve kuruluşlar da işveren niteliğindedir.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Okul aile birlikleri Milli Eğitim Bakanlığına ait okullarda okul yönetimi ile aynı amaç ve menfaat birliği içinde işçi çalıştırmaktadır. Buna göre, okul aile birlikleri ile Milli Eğitim Bakanlığının birlikte işverenlikleri söz konusudur. İşçinin okul aile birliği adına sigorta bildirimlerinin yapılmış olması varılan sonucu değiştirmez. Bu sebeple, işçi alacaklarından Milli Eğitim Bakanlığı da birlikte istihdam hükümlerine</w:t>
      </w:r>
    </w:p>
    <w:p w:rsidR="000F658C" w:rsidRDefault="000F658C" w:rsidP="000F658C">
      <w:pPr>
        <w:pStyle w:val="NormalWeb"/>
        <w:rPr>
          <w:rFonts w:ascii="Verdana" w:hAnsi="Verdana"/>
          <w:color w:val="000000"/>
          <w:sz w:val="15"/>
          <w:szCs w:val="15"/>
        </w:rPr>
      </w:pPr>
      <w:r>
        <w:rPr>
          <w:rFonts w:ascii="Verdana" w:hAnsi="Verdana"/>
          <w:color w:val="000000"/>
          <w:sz w:val="15"/>
          <w:szCs w:val="15"/>
        </w:rPr>
        <w:t>5</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göre</w:t>
      </w:r>
      <w:proofErr w:type="gramEnd"/>
      <w:r>
        <w:rPr>
          <w:rFonts w:ascii="Verdana" w:hAnsi="Verdana"/>
          <w:color w:val="000000"/>
          <w:sz w:val="15"/>
          <w:szCs w:val="15"/>
        </w:rPr>
        <w:t xml:space="preserve"> sorumludur. İşçi, her iki işverene ya da bunlardan sadece birine karşı dava açabilir.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Konusu bölünemeyen işe iade davalarının ise, husumetin her iki işverene birlikte yöneltilmesi gerekir. İş güvencesinin kapsamı yönünden otuz işçi ölçütünün mevcut olup olmadığı, birlikte istihdam kapsamında çalıştırılan işçi sayısına göre belirlenmelidir.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12. Yurt dışında işçi çalıştırılması halinde husumet sorunu:</w:t>
      </w:r>
    </w:p>
    <w:p w:rsidR="000F658C" w:rsidRDefault="000F658C" w:rsidP="000F658C">
      <w:pPr>
        <w:pStyle w:val="NormalWeb"/>
        <w:rPr>
          <w:rFonts w:ascii="Verdana" w:hAnsi="Verdana"/>
          <w:color w:val="000000"/>
          <w:sz w:val="15"/>
          <w:szCs w:val="15"/>
        </w:rPr>
      </w:pPr>
      <w:r>
        <w:rPr>
          <w:rFonts w:ascii="Verdana" w:hAnsi="Verdana"/>
          <w:color w:val="000000"/>
          <w:sz w:val="15"/>
          <w:szCs w:val="15"/>
        </w:rPr>
        <w:t>Türk uyruklu kişilerin yabancı ülkelerde o ülke vatandaşları ya da şirketleriyle birlikte kurdukları şirketler aracılığıyla aldıkları işler kapsamında çalıştırdıkları Türk işçilerinin alacaklarından yabancı kişinin şirketteki pay durumuna göre Türk firmasının sorumluluğu irdelenmelidir. Yabancı kişinin ortaklığı gerçek bir ortaklık olmayıp, o ülkede iş yapabilmek amacıyla salt bir formalitenin yerine getirilmesinden ibaret olduğunda, işçilik alacaklarına karşı tüzel kişilik perdesinin arkasına sığınmak hakkın kötüye kullanılması olarak değerlendirilebilir. Bu durumda Türk firmasının sorumluluğu söz konusu olur.</w:t>
      </w:r>
    </w:p>
    <w:p w:rsidR="000F658C" w:rsidRDefault="000F658C" w:rsidP="000F658C">
      <w:pPr>
        <w:pStyle w:val="NormalWeb"/>
        <w:rPr>
          <w:rFonts w:ascii="Verdana" w:hAnsi="Verdana"/>
          <w:color w:val="000000"/>
          <w:sz w:val="15"/>
          <w:szCs w:val="15"/>
        </w:rPr>
      </w:pPr>
      <w:r>
        <w:rPr>
          <w:rFonts w:ascii="Verdana" w:hAnsi="Verdana"/>
          <w:color w:val="000000"/>
          <w:sz w:val="15"/>
          <w:szCs w:val="15"/>
        </w:rPr>
        <w:t>13. Vakıf Üniversitesinde görev yapan öğretim üyeleri, öğretim görevlileri ve okutmanlar bakımından adli yargı/ idari yargı -sorunu:</w:t>
      </w:r>
    </w:p>
    <w:p w:rsidR="000F658C" w:rsidRDefault="000F658C" w:rsidP="000F658C">
      <w:pPr>
        <w:pStyle w:val="NormalWeb"/>
        <w:rPr>
          <w:rFonts w:ascii="Verdana" w:hAnsi="Verdana"/>
          <w:color w:val="000000"/>
          <w:sz w:val="15"/>
          <w:szCs w:val="15"/>
        </w:rPr>
      </w:pPr>
      <w:r>
        <w:rPr>
          <w:rFonts w:ascii="Verdana" w:hAnsi="Verdana"/>
          <w:color w:val="000000"/>
          <w:sz w:val="15"/>
          <w:szCs w:val="15"/>
        </w:rPr>
        <w:t>Bu konuda içtihatları birleştirme başvurusu yapılmış olup, gündeme alınması halinde verilebilecek karar beklenecektir.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14. Vakıf üniversitesi ile öğretim elemanları arasında belirli süreli iş sözleşmesi yapılıp yapılamayacağı: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t>Bu konudaki içtihadı birleştirme başvurusu yapılmış olup, Yargıtay 9. ve 22. Hukuk Dairesi belirli süreli yapılabileceği konusunda anlaşmışlardır. Ancak Yargıtay 9. Hukuk Dairesi daha sonra verilen kararlarında idari yargının görevli olacağını kabul etmiş olmakla yukarıda 13. numarada belirtildiği gibi İBK sonucu beklenecektir.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15. Gerekçesiz temyiz dilekçesi verilmesi halinde temyiz incelemesinin kapsamı:</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 xml:space="preserve">Bölge adliye mahkemesi ya da ilke derece mahkemesi kararının gerekçesiz temyiz dilekçesi ile temyiz edilmesi halinde, 6100 sayılı Hukuk Muhakemeleri Kanunu’nun 33.maddesinde belirtilen “Hâkim, Türk hukukunu resen uygular” hükmü ve aynı hükme paralel düzenlendiği anlaşılan 369. maddenin 1. fıkrası uyarınca, kanunun açık hükmüne aykırı görülen hususlar çerçevesinde temyiz incelemesi yapılır. </w:t>
      </w:r>
      <w:proofErr w:type="gramEnd"/>
      <w:r>
        <w:rPr>
          <w:rFonts w:ascii="Verdana" w:hAnsi="Verdana"/>
          <w:color w:val="000000"/>
          <w:sz w:val="15"/>
          <w:szCs w:val="15"/>
        </w:rPr>
        <w:t>Bunun gibi, gerekçesiz temyiz dilekçesi niteliğindeki süre tutum dilekçesi verildikten sonra gerekçeli mahkeme kararının tebliğinden itibaren iki haftalık temyiz süresi geçirilerek verilen gerekçeli temyiz dilekçeleri de “kanun açık hükümlerine aykırılık” kapsamında incelenir.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16. Davacının somutlaştırma yükünü yerine getirmemesi ve dava dilekçesinde kıdem tazminatı hesabında dikkate alınacak hesaplama unsurları hakkında bir iddiada bulunmaması halinde tanık anlatımlarında geçen unsurların dikkate alınıp alınmayacağı: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6</w:t>
      </w:r>
    </w:p>
    <w:p w:rsidR="000F658C" w:rsidRDefault="000F658C" w:rsidP="000F658C">
      <w:pPr>
        <w:pStyle w:val="NormalWeb"/>
        <w:rPr>
          <w:rFonts w:ascii="Verdana" w:hAnsi="Verdana"/>
          <w:color w:val="000000"/>
          <w:sz w:val="15"/>
          <w:szCs w:val="15"/>
        </w:rPr>
      </w:pPr>
      <w:r>
        <w:rPr>
          <w:rFonts w:ascii="Verdana" w:hAnsi="Verdana"/>
          <w:color w:val="000000"/>
          <w:sz w:val="15"/>
          <w:szCs w:val="15"/>
        </w:rPr>
        <w:t>6100 sayılı Hukuk Muhakemeleri Kanunu’nun 119.maddesine göre, davacının iddiasının dayanağı olan bütün vakıalarını sıra numarası altında açık özetlerini dava dilekçesinde belirtmesi gerekir. İhbar ve kıdem tazminatı hesabına esas giydirilmiş ücret bakımından davacının dava dilekçesinde somutlaştırma yükümünü yerine getirmemesi halinde ücrete ilaveten işçiye sağlanan para veya para ile ölçülmesi mümkün akdi menfaatlerin, salt davacı tanıklarının beyanları esas alınarak tazminata esas ücrete eklenmesi mümkün değildir.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Kanundan doğan menfaatler ile işveren tarafından düzenlenen yazılı delillerden anlaşılan veya davalı tanıkları tarafından da doğrulanan, ücret dışında işçiye sağlanan para veya para ile ölçülmesi mümkün menfaatlerin giydirilmiş ücrete eklenmesi için dava dilekçesinde açık talep şartı aramaz.</w:t>
      </w:r>
    </w:p>
    <w:p w:rsidR="000F658C" w:rsidRDefault="000F658C" w:rsidP="000F658C">
      <w:pPr>
        <w:pStyle w:val="NormalWeb"/>
        <w:rPr>
          <w:rFonts w:ascii="Verdana" w:hAnsi="Verdana"/>
          <w:color w:val="000000"/>
          <w:sz w:val="15"/>
          <w:szCs w:val="15"/>
        </w:rPr>
      </w:pPr>
      <w:r>
        <w:rPr>
          <w:rFonts w:ascii="Verdana" w:hAnsi="Verdana"/>
          <w:color w:val="000000"/>
          <w:sz w:val="15"/>
          <w:szCs w:val="15"/>
        </w:rPr>
        <w:t>Dava dilekçesinde ücret dışında başkaca sosyal hak olmadığı yönünden açık kabul halinde taleple bağlılık kuralına göre sadece temel ücrete göre hesaplama yapılır.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17. Kanun yolu süresinin hâkim tarafından hatalı gösterilmesi: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7036 sayılı İş Mahkemeleri Kanunu’nun 7.maddesinin 3.fıkrasına göre, 6100 sayılı Hukuk Muhakemeleri Kanununun kanun yollarına ilişkin hükümleri, iş mahkemelerince verilen kararlar hakkında da uygulanır. Aynı maddenin 4. fıkrasında ise, Kanun yoluna başvuru süresinin, ilamın taraflara tebliğinden itibaren işlemeye başlayacağı öngörülmüştür.</w:t>
      </w:r>
    </w:p>
    <w:p w:rsidR="000F658C" w:rsidRDefault="000F658C" w:rsidP="000F658C">
      <w:pPr>
        <w:pStyle w:val="NormalWeb"/>
        <w:rPr>
          <w:rFonts w:ascii="Verdana" w:hAnsi="Verdana"/>
          <w:color w:val="000000"/>
          <w:sz w:val="15"/>
          <w:szCs w:val="15"/>
        </w:rPr>
      </w:pPr>
      <w:r>
        <w:rPr>
          <w:rFonts w:ascii="Verdana" w:hAnsi="Verdana"/>
          <w:color w:val="000000"/>
          <w:sz w:val="15"/>
          <w:szCs w:val="15"/>
        </w:rPr>
        <w:t>Hukuk Muhakemeleri Kanunu’nun 361.maddesinin 1.fıkrasına göre, bölge adliye mahkemesi hukuk dairelerinden verilen temyizi kabil nihai kararlar ile hakem kararlarının iptali talebi üzerine verilen kararlara karşı tebliğ tarihinden itibaren iki hafta içinde temyiz yoluna başvurulabilir. Aynı Kanun’un 297.maddesi uyarınca hükümde bulunması gereken unsurlardan biri de, “varsa kanun yolları ve süresi” olarak belirtilmiştir. Bu kural, Anayasa’nın “Temel hak ve hürriyetlerin korunması” başlığını taşıyan 140. maddesinin 2. fıkrasına göre, “Devlet, işlemlerinde, ilgili kişilerin hangi kanun yolları ve mercilere başvuracağını ve sürelerini belirtmek zorundadır” hükmüne uygun bir düzenlemedir.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Hukuk Muhakemeleri Kanunu’nun 90.maddesinin 1.fıkrasında, kanunda belirtilen istisnalar dışında, hâkimin kanundaki süreleri artıramayacağı veya eksiltemeyeceği düzenlenmiştir. Ancak, Anayasa’nın ve Hukuk Muhakemeleri Kanunu’nun yukarıda belirtilen hükümleri uyarınca, hâkimin kanun yolunu ve süresini taraflara doğru olarak belirtme yükümlülüğü söz konusudur. Avrupa İnsan Hakları Mahkemesi ve Anayasa </w:t>
      </w:r>
      <w:proofErr w:type="spellStart"/>
      <w:proofErr w:type="gramStart"/>
      <w:r>
        <w:rPr>
          <w:rFonts w:ascii="Verdana" w:hAnsi="Verdana"/>
          <w:color w:val="000000"/>
          <w:sz w:val="15"/>
          <w:szCs w:val="15"/>
        </w:rPr>
        <w:t>Mahkemesi,kanun</w:t>
      </w:r>
      <w:proofErr w:type="spellEnd"/>
      <w:proofErr w:type="gramEnd"/>
      <w:r>
        <w:rPr>
          <w:rFonts w:ascii="Verdana" w:hAnsi="Verdana"/>
          <w:color w:val="000000"/>
          <w:sz w:val="15"/>
          <w:szCs w:val="15"/>
        </w:rPr>
        <w:t xml:space="preserve"> yoluna başvuru süresinin mahkeme kararında hatalı olarak gösterilmesi hâlinde, bu süreye güvenerek başvuruda bulunan ilgilinin talebinin süre yönünden reddedilmemesi gerektiğine, aksi yöndeki uygulamaların adil yargılanma hakkı kapsamında mahkemeye erişim hakkının ihlali niteliğinde olduğuna karar vermiştir (AİHM, Osu/İtalya, 11.07.2002, </w:t>
      </w:r>
      <w:proofErr w:type="spellStart"/>
      <w:r>
        <w:rPr>
          <w:rFonts w:ascii="Verdana" w:hAnsi="Verdana"/>
          <w:color w:val="000000"/>
          <w:sz w:val="15"/>
          <w:szCs w:val="15"/>
        </w:rPr>
        <w:t>B.No</w:t>
      </w:r>
      <w:proofErr w:type="spellEnd"/>
      <w:r>
        <w:rPr>
          <w:rFonts w:ascii="Verdana" w:hAnsi="Verdana"/>
          <w:color w:val="000000"/>
          <w:sz w:val="15"/>
          <w:szCs w:val="15"/>
        </w:rPr>
        <w:t>: 36534/97; AYM, , 21.9.2017, 2014/13217).</w:t>
      </w:r>
    </w:p>
    <w:p w:rsidR="000F658C" w:rsidRDefault="000F658C" w:rsidP="000F658C">
      <w:pPr>
        <w:pStyle w:val="NormalWeb"/>
        <w:rPr>
          <w:rFonts w:ascii="Verdana" w:hAnsi="Verdana"/>
          <w:color w:val="000000"/>
          <w:sz w:val="15"/>
          <w:szCs w:val="15"/>
        </w:rPr>
      </w:pPr>
      <w:r>
        <w:rPr>
          <w:rFonts w:ascii="Verdana" w:hAnsi="Verdana"/>
          <w:color w:val="000000"/>
          <w:sz w:val="15"/>
          <w:szCs w:val="15"/>
        </w:rPr>
        <w:t>Yukarıda belirtilen nedenlerle kanun yolu süresi hâkim tarafından hatalı şekilde gösterildiğinde, kararda yer alan süreye bağlı olarak kanun yolu hakkının kullanılabilmesine imkân tanınmalıdır. Örneğin, iki haftalık kanun yolu süresi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7</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mahkeme</w:t>
      </w:r>
      <w:proofErr w:type="gramEnd"/>
      <w:r>
        <w:rPr>
          <w:rFonts w:ascii="Verdana" w:hAnsi="Verdana"/>
          <w:color w:val="000000"/>
          <w:sz w:val="15"/>
          <w:szCs w:val="15"/>
        </w:rPr>
        <w:t xml:space="preserve"> kararında hatalı olarak bir ay olarak belirtilmişse, bu süre içinde yapılan istinaf veya temyizi süresinde yapılmış kabul etmek gerekir.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18. Islah yapmak üzere verilen sürenin bir hafta ile sınırlı ve kesin olup olmadığı: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t>Islah hakkını kullanmak için mahkemeden süre talebinde 6100 sayılı Hukuk Muhakemeleri Kanunu’nun 181. maddesinin uygulanma imkânı bulunmamaktadır. Zira aynı Kanun'un 177. maddesine göre ıslah tahkikatın sona ermesine kadar yapılabilecektir. Ancak davayı uzatmaya yönelik taleplerde hâkim tarafından ıslah hakkının kullanılması için belli bir süre veya kesin süre verilebilir.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Hukuk Muhakemeleri Kanunu’nun 181. maddesinde öngörülen kesin süre, duruşmada tutanağa geçirilmek suretiyle yapılan ıslah işleminin tamamlanması (harç </w:t>
      </w:r>
      <w:proofErr w:type="spellStart"/>
      <w:r>
        <w:rPr>
          <w:rFonts w:ascii="Verdana" w:hAnsi="Verdana"/>
          <w:color w:val="000000"/>
          <w:sz w:val="15"/>
          <w:szCs w:val="15"/>
        </w:rPr>
        <w:t>vs</w:t>
      </w:r>
      <w:proofErr w:type="spellEnd"/>
      <w:r>
        <w:rPr>
          <w:rFonts w:ascii="Verdana" w:hAnsi="Verdana"/>
          <w:color w:val="000000"/>
          <w:sz w:val="15"/>
          <w:szCs w:val="15"/>
        </w:rPr>
        <w:t>) için verilmesi gereken bir süredir.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Bunun dışında ıslah işleminin yapmak için süre talep edildiği haller, Hukuk Muhakemeleri Kanunu’nun 181. maddesinde öngörülen kanuni kesin süreye tabi değildir.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19. Islahta yeni bir alacak talebinin mümkün olup olmadığı: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Dava dilekçesinde talep konusu yapılmayan bir işçilik alacağı, dava konusu alacaklarla aynı veya birbirine benzer sebeplerden doğmak şartıyla, ayrıca bu alacağa ilişkin peşin harç yatırılmak kaydıyla kısmi ıslahla talep edilebilir. Davalının bu alacakla ilgili delil sunma, itirazda bulunma ve zamanaşımı defini ileri sürme hakkı vardır. Bu durum usul ekonomisine daha uygundur. Ancak delillerin toplandığı ve karar aşamasına gelindiği bir aşamada salt davayı uzatmak veya karşı tarafı rahatsız etmek gibi </w:t>
      </w:r>
      <w:proofErr w:type="spellStart"/>
      <w:r>
        <w:rPr>
          <w:rFonts w:ascii="Verdana" w:hAnsi="Verdana"/>
          <w:color w:val="000000"/>
          <w:sz w:val="15"/>
          <w:szCs w:val="15"/>
        </w:rPr>
        <w:t>kötüniyetli</w:t>
      </w:r>
      <w:proofErr w:type="spellEnd"/>
      <w:r>
        <w:rPr>
          <w:rFonts w:ascii="Verdana" w:hAnsi="Verdana"/>
          <w:color w:val="000000"/>
          <w:sz w:val="15"/>
          <w:szCs w:val="15"/>
        </w:rPr>
        <w:t xml:space="preserve"> düşüncelerle ıslah yoluyla ek talepte bulunulması halinde 6100 sayılı Hukuk Muhakemeleri Kanunu’nu n 182. maddesine göre hâkim ıslahı dikkate almadan karar verebilir.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20. Islahla dava türünün değiştirilip değiştirilemeyeceği:</w:t>
      </w:r>
    </w:p>
    <w:p w:rsidR="000F658C" w:rsidRDefault="000F658C" w:rsidP="000F658C">
      <w:pPr>
        <w:pStyle w:val="NormalWeb"/>
        <w:rPr>
          <w:rFonts w:ascii="Verdana" w:hAnsi="Verdana"/>
          <w:color w:val="000000"/>
          <w:sz w:val="15"/>
          <w:szCs w:val="15"/>
        </w:rPr>
      </w:pPr>
      <w:r>
        <w:rPr>
          <w:rFonts w:ascii="Verdana" w:hAnsi="Verdana"/>
          <w:color w:val="000000"/>
          <w:sz w:val="15"/>
          <w:szCs w:val="15"/>
        </w:rPr>
        <w:t>Islah yoluyla dava türünün değiştirilemez. Örneğin belirsiz alacak davası kısmi davaya veya kısmi dava belirsiz alacak davasına dönüştürülemez.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21. Islahta harç ödenmemesi halinde harç yatırılması noktasında süre verilip verilemeyeceği:</w:t>
      </w:r>
    </w:p>
    <w:p w:rsidR="000F658C" w:rsidRDefault="000F658C" w:rsidP="000F658C">
      <w:pPr>
        <w:pStyle w:val="NormalWeb"/>
        <w:rPr>
          <w:rFonts w:ascii="Verdana" w:hAnsi="Verdana"/>
          <w:color w:val="000000"/>
          <w:sz w:val="15"/>
          <w:szCs w:val="15"/>
        </w:rPr>
      </w:pPr>
      <w:r>
        <w:rPr>
          <w:rFonts w:ascii="Verdana" w:hAnsi="Verdana"/>
          <w:color w:val="000000"/>
          <w:sz w:val="15"/>
          <w:szCs w:val="15"/>
        </w:rPr>
        <w:t>Islah müessesesi bir dava değildir. Açılmış olan bir davaya ilişkin usul işlemlerinin tamamen veya kısmen düzeltilmesine imkân veren bir yoldur. Bu nedenle ıslahta başvurma harcının alınması gerekmez. Islahla talep konusu miktarın artırılması halinde nispi harç yatırılmalıdır. Yatırılmayan ya da eksik ödenmiş olan nispi harcın 492 sayılı Harçlar Kanunu’nun 30.maddesi uyarınca sonradan tamamlattırılması mümkündür.</w:t>
      </w:r>
    </w:p>
    <w:p w:rsidR="000F658C" w:rsidRDefault="000F658C" w:rsidP="000F658C">
      <w:pPr>
        <w:pStyle w:val="NormalWeb"/>
        <w:rPr>
          <w:rFonts w:ascii="Verdana" w:hAnsi="Verdana"/>
          <w:color w:val="000000"/>
          <w:sz w:val="15"/>
          <w:szCs w:val="15"/>
        </w:rPr>
      </w:pPr>
      <w:r>
        <w:rPr>
          <w:rFonts w:ascii="Verdana" w:hAnsi="Verdana"/>
          <w:color w:val="000000"/>
          <w:sz w:val="15"/>
          <w:szCs w:val="15"/>
        </w:rPr>
        <w:t>8</w:t>
      </w:r>
    </w:p>
    <w:p w:rsidR="000F658C" w:rsidRDefault="000F658C" w:rsidP="000F658C">
      <w:pPr>
        <w:pStyle w:val="NormalWeb"/>
        <w:rPr>
          <w:rFonts w:ascii="Verdana" w:hAnsi="Verdana"/>
          <w:color w:val="000000"/>
          <w:sz w:val="15"/>
          <w:szCs w:val="15"/>
        </w:rPr>
      </w:pPr>
      <w:r>
        <w:rPr>
          <w:rFonts w:ascii="Verdana" w:hAnsi="Verdana"/>
          <w:color w:val="000000"/>
          <w:sz w:val="15"/>
          <w:szCs w:val="15"/>
        </w:rPr>
        <w:t>22. Borcu sona erdiren belgenin yargılamanın her aşamasında ileri sürülüp sürülemeyeceği:</w:t>
      </w:r>
    </w:p>
    <w:p w:rsidR="000F658C" w:rsidRDefault="000F658C" w:rsidP="000F658C">
      <w:pPr>
        <w:pStyle w:val="NormalWeb"/>
        <w:rPr>
          <w:rFonts w:ascii="Verdana" w:hAnsi="Verdana"/>
          <w:color w:val="000000"/>
          <w:sz w:val="15"/>
          <w:szCs w:val="15"/>
        </w:rPr>
      </w:pPr>
      <w:r>
        <w:rPr>
          <w:rFonts w:ascii="Verdana" w:hAnsi="Verdana"/>
          <w:color w:val="000000"/>
          <w:sz w:val="15"/>
          <w:szCs w:val="15"/>
        </w:rPr>
        <w:t>Ödeme itirazı mahiyetindeki makbuz ve benzeri miktar içeren belge sunumu -istinaf aşaması hariç- yargılamanın her aşamasında ileri sürülebilir.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İbraname veya yıllık izin belgesi gibi borcu sona erdirebilecek belgeler de temyiz aşamasında dahi ileri sürülebilir.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23. Asıl işveren alt işveren ilişkisinde birinin ileri sürdüğü zamanaşımı definin diğerine sirayeti:</w:t>
      </w:r>
    </w:p>
    <w:p w:rsidR="000F658C" w:rsidRDefault="000F658C" w:rsidP="000F658C">
      <w:pPr>
        <w:pStyle w:val="NormalWeb"/>
        <w:rPr>
          <w:rFonts w:ascii="Verdana" w:hAnsi="Verdana"/>
          <w:color w:val="000000"/>
          <w:sz w:val="15"/>
          <w:szCs w:val="15"/>
        </w:rPr>
      </w:pPr>
      <w:r>
        <w:rPr>
          <w:rFonts w:ascii="Verdana" w:hAnsi="Verdana"/>
          <w:color w:val="000000"/>
          <w:sz w:val="15"/>
          <w:szCs w:val="15"/>
        </w:rPr>
        <w:t>Asıl işveren alt işveren arasındaki ilişkide birlikte (müşterek müteselsil) borçluluk kabul görse de, aralarındaki ilişki bir anlamda TBK 155. düzenlenen asıl borçlu / kefil ilişkisine benzemektedir. Alt işveren asıl borçlu, asıl işveren ve kefil ise alacaklıya karşı garanti yükümlülüğü altındadır. Bu itibarla asıl işverenin ileri sürdüğü zamanaşımı definden sadece asıl işveren yararlanır. Alt işverenin ileri sürdüğü zamanaşımı defi asıl işverene sirayet eder. Bu şekilde asıl işverenin sorumluluğu alt işverenin sorumlu olduğu miktarı aşmamış olur.</w:t>
      </w:r>
    </w:p>
    <w:p w:rsidR="000F658C" w:rsidRDefault="000F658C" w:rsidP="000F658C">
      <w:pPr>
        <w:pStyle w:val="NormalWeb"/>
        <w:rPr>
          <w:rFonts w:ascii="Verdana" w:hAnsi="Verdana"/>
          <w:color w:val="000000"/>
          <w:sz w:val="15"/>
          <w:szCs w:val="15"/>
        </w:rPr>
      </w:pPr>
      <w:r>
        <w:rPr>
          <w:rFonts w:ascii="Verdana" w:hAnsi="Verdana"/>
          <w:color w:val="000000"/>
          <w:sz w:val="15"/>
          <w:szCs w:val="15"/>
        </w:rPr>
        <w:t>24. Asıl işveren alt işveren ilişkisinde biri hakkındaki feragatin etkisi:</w:t>
      </w:r>
    </w:p>
    <w:p w:rsidR="000F658C" w:rsidRDefault="000F658C" w:rsidP="000F658C">
      <w:pPr>
        <w:pStyle w:val="NormalWeb"/>
        <w:rPr>
          <w:rFonts w:ascii="Verdana" w:hAnsi="Verdana"/>
          <w:color w:val="000000"/>
          <w:sz w:val="15"/>
          <w:szCs w:val="15"/>
        </w:rPr>
      </w:pPr>
      <w:r>
        <w:rPr>
          <w:rFonts w:ascii="Verdana" w:hAnsi="Verdana"/>
          <w:color w:val="000000"/>
          <w:sz w:val="15"/>
          <w:szCs w:val="15"/>
        </w:rPr>
        <w:t>Asıl işveren alt işveren ilişkisinde alt işverenin tam sorumluluğu olduğu halde asıl işverenin rücu yetkisi de mevcut olmak üzere kanundan doğan garanti yükümlülüğü mevcuttur. Buna göre asıl borçlu olan alt işveren hakkındaki davadan feragat asıl işverene de etki eder. Ancak asıl işveren hakkındaki davadan feragat, alt işveren hakkındaki davadan feragat sonucunu doğurmaz.</w:t>
      </w:r>
    </w:p>
    <w:p w:rsidR="000F658C" w:rsidRDefault="000F658C" w:rsidP="000F658C">
      <w:pPr>
        <w:pStyle w:val="NormalWeb"/>
        <w:rPr>
          <w:rFonts w:ascii="Verdana" w:hAnsi="Verdana"/>
          <w:color w:val="000000"/>
          <w:sz w:val="15"/>
          <w:szCs w:val="15"/>
        </w:rPr>
      </w:pPr>
      <w:r>
        <w:rPr>
          <w:rFonts w:ascii="Verdana" w:hAnsi="Verdana"/>
          <w:color w:val="000000"/>
          <w:sz w:val="15"/>
          <w:szCs w:val="15"/>
        </w:rPr>
        <w:t>Davadan feragat yerine haktan feragat, her iki işverene etki eder.</w:t>
      </w:r>
    </w:p>
    <w:p w:rsidR="000F658C" w:rsidRDefault="000F658C" w:rsidP="000F658C">
      <w:pPr>
        <w:pStyle w:val="NormalWeb"/>
        <w:rPr>
          <w:rFonts w:ascii="Verdana" w:hAnsi="Verdana"/>
          <w:color w:val="000000"/>
          <w:sz w:val="15"/>
          <w:szCs w:val="15"/>
        </w:rPr>
      </w:pPr>
      <w:r>
        <w:rPr>
          <w:rFonts w:ascii="Verdana" w:hAnsi="Verdana"/>
          <w:color w:val="000000"/>
          <w:sz w:val="15"/>
          <w:szCs w:val="15"/>
        </w:rPr>
        <w:t>25. Sosyal yardımlaşma vakıfları çalışanlarına ilave tediye ödenmesi: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Bu konuda içtihatları birleştirme başvurusu yapılmış olup, gündeme alınmasıyla birlikte İBK kararının beklenmesi kararı alınmıştır.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26. Telekom Nakil Bildiriminde Ek Ödeme ve İkramiye:</w:t>
      </w:r>
    </w:p>
    <w:p w:rsidR="000F658C" w:rsidRDefault="000F658C" w:rsidP="000F658C">
      <w:pPr>
        <w:pStyle w:val="NormalWeb"/>
        <w:rPr>
          <w:rFonts w:ascii="Verdana" w:hAnsi="Verdana"/>
          <w:color w:val="000000"/>
          <w:sz w:val="15"/>
          <w:szCs w:val="15"/>
        </w:rPr>
      </w:pPr>
      <w:r>
        <w:rPr>
          <w:rFonts w:ascii="Verdana" w:hAnsi="Verdana"/>
          <w:color w:val="000000"/>
          <w:sz w:val="15"/>
          <w:szCs w:val="15"/>
        </w:rPr>
        <w:t>Bu konuda 406 sayılı Kanun'un ek 29/3. maddesi özel hüküm niteliğinde olup 15.04.2004 tarihindeki unvan esas alınarak bu tarihteki ücret ile diğer mali haklara kamu görevlilerine yapılan artış oranları dikkate alınır. Bu durumda işçinin 15.04.2004 tarihindeki ücret ve diğer mali haklarına (ek ödeme ve ikramiye gibi) nakil tarihine kadar geçen sürede kamu görevlilerine yapılan artış oranları uygulanmak suretiyle belirlenen ücret ve mali haklarının nakil bildirim yazısında gösterilmesi gerekir.</w:t>
      </w:r>
    </w:p>
    <w:p w:rsidR="000F658C" w:rsidRDefault="000F658C" w:rsidP="000F658C">
      <w:pPr>
        <w:pStyle w:val="NormalWeb"/>
        <w:rPr>
          <w:rFonts w:ascii="Verdana" w:hAnsi="Verdana"/>
          <w:color w:val="000000"/>
          <w:sz w:val="15"/>
          <w:szCs w:val="15"/>
        </w:rPr>
      </w:pPr>
      <w:r>
        <w:rPr>
          <w:rFonts w:ascii="Verdana" w:hAnsi="Verdana"/>
          <w:color w:val="000000"/>
          <w:sz w:val="15"/>
          <w:szCs w:val="15"/>
        </w:rPr>
        <w:t>4046 sayılı Kanun'un 22/5. maddesinin doğrudan uygulanması ve nakil tarihinde ödenen ikramiye ve ek ödemelerin nakil bildiriminde gösterilmesine imkân bulunmamaktadır.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9</w:t>
      </w:r>
    </w:p>
    <w:p w:rsidR="000F658C" w:rsidRDefault="000F658C" w:rsidP="000F658C">
      <w:pPr>
        <w:pStyle w:val="NormalWeb"/>
        <w:rPr>
          <w:rFonts w:ascii="Verdana" w:hAnsi="Verdana"/>
          <w:color w:val="000000"/>
          <w:sz w:val="15"/>
          <w:szCs w:val="15"/>
        </w:rPr>
      </w:pPr>
      <w:r>
        <w:rPr>
          <w:rFonts w:ascii="Verdana" w:hAnsi="Verdana"/>
          <w:color w:val="000000"/>
          <w:sz w:val="15"/>
          <w:szCs w:val="15"/>
        </w:rPr>
        <w:t>27. İşçinin iş sözleşmesindeki temel ücretinin sendikaya üye olması halinde azaldığı halde, toplu iş sözleşmesinde öngörülen ücretin ekleri ve diğer sosyal haklar dikkate alındığında işçinin yararına olması durumu (Toplam Yararlılık İlkesi):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Bireysel iş sözleşmesinde kararlaştırılan temel ücret işçinin üye olması halinde toplu iş sözleşmesinde öngörülen kök ücrete göre azaldığı halde, parasal karşılığı olan haklar bir bütün olarak değerlendirilerek karşılaştırma yapılmalıdır. Bu durumda işçinin temel ücreti sendikaya üye olduğu tarihten itibaren toplu iş sözleşmesine göre daha düşük olsa da, ücret grubu haklar yönünden toplam yararlılık dikkate alındığında işçi lehine ise kanuna aykırılık yoktur.</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 xml:space="preserve">28. Belirsiz alacak davası açabilmek için alacağın belirsiz olmasında </w:t>
      </w:r>
      <w:proofErr w:type="gramStart"/>
      <w:r>
        <w:rPr>
          <w:rFonts w:ascii="Verdana" w:hAnsi="Verdana"/>
          <w:color w:val="000000"/>
          <w:sz w:val="15"/>
          <w:szCs w:val="15"/>
        </w:rPr>
        <w:t>kriterler</w:t>
      </w:r>
      <w:proofErr w:type="gramEnd"/>
      <w:r>
        <w:rPr>
          <w:rFonts w:ascii="Verdana" w:hAnsi="Verdana"/>
          <w:color w:val="000000"/>
          <w:sz w:val="15"/>
          <w:szCs w:val="15"/>
        </w:rPr>
        <w:t xml:space="preserve"> ve tamamlanabilir dava şartı:</w:t>
      </w:r>
    </w:p>
    <w:p w:rsidR="000F658C" w:rsidRDefault="000F658C" w:rsidP="000F658C">
      <w:pPr>
        <w:pStyle w:val="NormalWeb"/>
        <w:rPr>
          <w:rFonts w:ascii="Verdana" w:hAnsi="Verdana"/>
          <w:color w:val="000000"/>
          <w:sz w:val="15"/>
          <w:szCs w:val="15"/>
        </w:rPr>
      </w:pPr>
      <w:r>
        <w:rPr>
          <w:rFonts w:ascii="Verdana" w:hAnsi="Verdana"/>
          <w:color w:val="000000"/>
          <w:sz w:val="15"/>
          <w:szCs w:val="15"/>
        </w:rPr>
        <w:t>01.10.2011 tarihinde yürürlüğe giren 6100 sayılı Kanunu'nun 107. maddesiyle, mülga 1086 sayılı Hukuk Usulü Muhakemeleri Kanunu'nda yer almayan yeni bir dava türü olarak belirsiz alacak ve tespit davası kabul edilmiştir.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6100 sayılı Kanunun 107. maddesinin 1. fıkrasına göre, “Davanın açıldığı tarihte alacağın miktarını yahut değerini tam ve kesin olarak belirleyebilmesinin kendisinden beklenemeyeceği veya bunun imkânsız olduğu hâllerde, alacaklı, hukuki ilişkiyi ve asgari bir miktar ya da değeri belirtmek suretiyle belirsiz alacak davası açabilir”.</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6100 sayılı Kanunun 107. maddenin 2. fıkrasında, karşı tarafın verdiği bilgi veya tahkikat sonucu alacağın miktarı veya değerinin tam ve kesin olarak belirlenebilmesinin mümkün olduğu anda davacının, iddianın genişletilmesi yasağına tâbi olmaksızın davanın başında belirtmiş olduğu talebini artırabileceği hüküm altına alınmış, madde gerekçesinde de "karşı tarafın verdiği bilgiler ve sunduğu delillerle ya da delillerin incelenmesi ve tahkikat işlemleri sonucu (örneğin bilirkişi ya da keşif incelemesi sonucu)" belirlenebilme hali açıklanmıştır.</w:t>
      </w:r>
      <w:proofErr w:type="gramEnd"/>
    </w:p>
    <w:p w:rsidR="000F658C" w:rsidRDefault="000F658C" w:rsidP="000F658C">
      <w:pPr>
        <w:pStyle w:val="NormalWeb"/>
        <w:rPr>
          <w:rFonts w:ascii="Verdana" w:hAnsi="Verdana"/>
          <w:color w:val="000000"/>
          <w:sz w:val="15"/>
          <w:szCs w:val="15"/>
        </w:rPr>
      </w:pPr>
      <w:r>
        <w:rPr>
          <w:rFonts w:ascii="Verdana" w:hAnsi="Verdana"/>
          <w:color w:val="000000"/>
          <w:sz w:val="15"/>
          <w:szCs w:val="15"/>
        </w:rPr>
        <w:t>Davanın belirsiz alacak davası şeklinde açılabilmesi için, davanın açıldığı tarih itibariyle uyuşmazlığa konu alacağın miktar veya değerinin tam ve kesin olarak davacı tarafça belirlenememesi gereklidir. Belirleyememe hali, davacının gerekli dikkat ve özeni göstermesine rağmen miktar veya değerin belirlenmesinin kendisinden gerçekten beklenilmemesi durumuna ya da objektif olarak imkânsızlığa dayanmalıdır. Davacının alacağının miktar veya değerini belirleyebilmesi için elinde bulunması gerekli bilgi ve belgelere sahip olmaması ve bu belgelere dava açma hazırlığı döneminde ulaşmasının da (gerçekten) mümkün olmaması ve dolayısıyla alacağın miktarının belirlenmesinin karşı tarafın elinde bulunan bilgi ve belgelerin sunulmasıyla mümkün hale geleceği durumlarda alacak belirsiz kabul edilmelidir. Alacağın miktarının belirlenebilmesinin hâkimin takdirine bağlı olduğu durumlarda hukuki imkânsızlık söz konusu olur. Bu durumda davacı alacaklı, hâkimin takdir yetkisini nasıl kullanacağını bilemeyeceği için davanın açıldığı tarihte alacağının miktarını belirleyebilecek durumda değildir.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Sırf taraflar arasında alacak miktarı bakımından uyuşmazlık bulunması, talep sonucunun belirlenmesinin davacıdan beklenemeyecek olması anlamına gelmez. Önemli olan objektif olarak talep sonucunun belirlenmesinin davacıdan beklenemeyecek olmasıdır.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10</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Alacağın hangi hallerde belirsiz, hangi hallerde belirli veya belirlenebilir olduğu hususunda kesin bir sınıflandırma yapılması mümkün olmayıp, her bir davaya konu alacak bakımından somut olayın özelliklerinin nazara alınarak sonuca gidilmesi gereklidir. İş yargılamasında sıklıkla davaların yığılması söz konusu olmakla alacağın belirsiz olma </w:t>
      </w:r>
      <w:proofErr w:type="gramStart"/>
      <w:r>
        <w:rPr>
          <w:rFonts w:ascii="Verdana" w:hAnsi="Verdana"/>
          <w:color w:val="000000"/>
          <w:sz w:val="15"/>
          <w:szCs w:val="15"/>
        </w:rPr>
        <w:t>kriterleri</w:t>
      </w:r>
      <w:proofErr w:type="gramEnd"/>
      <w:r>
        <w:rPr>
          <w:rFonts w:ascii="Verdana" w:hAnsi="Verdana"/>
          <w:color w:val="000000"/>
          <w:sz w:val="15"/>
          <w:szCs w:val="15"/>
        </w:rPr>
        <w:t xml:space="preserve"> her bir talep için ayrı ayrı değerlendirilmelidir. Diğer yandan, aynı dava dilekçesinde talep yığılması şeklinde bazı alacaklar için belirsiz alacak davası bazıları için kısmi dava açılmasına yasal bir engel bulunmamaktadır.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Kıdem tazminatı, ihbar tazminatı, yıllık izin ücreti ve ücret alacakları işçi tarafından bilinmekle kural olarak belirsiz alacak davasına konu edilmez. Ancak hesabın unsurları olan sosyal hakların (ayni olarak sağlanan yemek yardımı gibi) miktarının belirlenmesi işveren tarafından sunulacak belgelere göre belirlenecek ise, kıdem ve ihbar tazminatı belirsiz alacak davasına konu edilebilir.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Madde gerekçesinde "Alacaklının bu tür bir dava açması için, dava açacağı miktar ya da değeri tam ve kesin olarak gerçekten belirlemesi mümkün olmamalı ya da bu objektif olarak imkânsız olmalıdır. Açılacak davanın miktarı biliniyor yahut tespit edilebiliyorsa, böyle bir dava açılamaz. </w:t>
      </w:r>
      <w:proofErr w:type="gramStart"/>
      <w:r>
        <w:rPr>
          <w:rFonts w:ascii="Verdana" w:hAnsi="Verdana"/>
          <w:color w:val="000000"/>
          <w:sz w:val="15"/>
          <w:szCs w:val="15"/>
        </w:rPr>
        <w:t>Çünkü,</w:t>
      </w:r>
      <w:proofErr w:type="gramEnd"/>
      <w:r>
        <w:rPr>
          <w:rFonts w:ascii="Verdana" w:hAnsi="Verdana"/>
          <w:color w:val="000000"/>
          <w:sz w:val="15"/>
          <w:szCs w:val="15"/>
        </w:rPr>
        <w:t xml:space="preserve"> her davada arandığı gibi, burada da hukukî yarar aranacaktır, böyle bir durumda hukukî yararın bulunduğundan söz edilemez. Özellikle, kısmî davaya ilişkin yeni hükümler de dikkate alınıp birlikte değerlendirildiğinde, baştan tespiti mümkün olan hâllerde bu yola başvurulması kabul edilemez." şeklindeki açıklamayla, alacağın belirli veya belirlenebilir nitelikte olması durumunda, belirsiz alacak davası açılarak bu davanın sağladığı imkânlardan yararlanmanın mümkün olmadığına işaret edilmiştir. Şu halde davanın açıldığı tarihte alacağın miktarı yahut değeri belirlenebilir durumda ise, dava şartı yokluğundan davanın usulden reddine karar verilmelidir. Burada hukuki yarar eksikliğinin tamamlanabilir dava şartı olmadığı sonucuna varılmıştır. 7251 sayılı Kanun ile 107. maddede yapılan değişiklikler şartları olmadığı halde açılan belirsiz alacak davasında davacıya süre verilerek hukuki yarar eksikliğini tamamlama imkânı tanımamaktadır. Dairemizce sözü edilen düzenleme, şartları mevcut olan belirsiz alacak davasında yapılan yargılama ile alacağın belirli hale gelmesi durumunda hâkimin geçici talep sonucunu kesin talep sonucuna dönüştürmesi için alacaklıya süre vermesi gerektiği yönünde değerlendirilmiştir.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Hukuk devletinin asli unsurları arasında yer alan hukuki belirlilik veya güvenlik ilkesi, hukuki durumlarda belirli bir istikrarı temin etmekte ve kamunun mahkemelere güvenine katkıda bulunmaktadır. Birbiriyle uyuşmayan mahkeme kararlarının sürüp gitmesi, yargı sistemine güveni azaltarak, yargısal bir belirsizliğe yol açabilir (AİHM, </w:t>
      </w:r>
      <w:proofErr w:type="spellStart"/>
      <w:r>
        <w:rPr>
          <w:rFonts w:ascii="Verdana" w:hAnsi="Verdana"/>
          <w:color w:val="000000"/>
          <w:sz w:val="15"/>
          <w:szCs w:val="15"/>
        </w:rPr>
        <w:t>Nejdet</w:t>
      </w:r>
      <w:proofErr w:type="spellEnd"/>
      <w:r>
        <w:rPr>
          <w:rFonts w:ascii="Verdana" w:hAnsi="Verdana"/>
          <w:color w:val="000000"/>
          <w:sz w:val="15"/>
          <w:szCs w:val="15"/>
        </w:rPr>
        <w:t xml:space="preserve"> Şahin ve Perihan Şahin/Türkiye, B. No: 13279/05, 20.10.2011, § 57).</w:t>
      </w:r>
    </w:p>
    <w:p w:rsidR="000F658C" w:rsidRDefault="000F658C" w:rsidP="000F658C">
      <w:pPr>
        <w:pStyle w:val="NormalWeb"/>
        <w:rPr>
          <w:rFonts w:ascii="Verdana" w:hAnsi="Verdana"/>
          <w:color w:val="000000"/>
          <w:sz w:val="15"/>
          <w:szCs w:val="15"/>
        </w:rPr>
      </w:pPr>
      <w:r>
        <w:rPr>
          <w:rFonts w:ascii="Verdana" w:hAnsi="Verdana"/>
          <w:color w:val="000000"/>
          <w:sz w:val="15"/>
          <w:szCs w:val="15"/>
        </w:rPr>
        <w:t>Kişilerin hukuki güvenliğini sağlamayı amaçlayan hukuki güvenlik ilkesi, hukuk normlarının öngörülebilir olmasını, bireylerin tüm eylem ve işlemlerinde Devlete güven duyabilmesini, Devletin de yasal düzenlemelerinde bu güven duygusunu zedeleyici yöntemlerden kaçınmasını gerekli kılar. Belirlilik ilkesi ise, yalnızca yasal belirliliği değil, daha geniş anlamda hukuki belirliliği ifade etmektedir. Yasal düzenlemeye dayanarak erişilebilir, bilinebilir ve öngörülebilir gibi niteliksel gereklilikleri karşılaması koşuluyla, mahkeme içtihatları ve yürütmenin düzenleyici işlemleri ile de hukuki belirlilik sağlanabilir. Hukuki belirlilik ilkesinde asıl olan, bir hukuk normunun uygulanmasıyla ortaya çıkacak sonuçların o hukuk düzeninde öngörülebilir olmasıdır (AYM, 23.12.2015, 15-118).</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11</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Farklı kararların aynı mahkemeden çıkmış olması tek başına, adil yargılanma hakkının ihlali anlamına gelmez Değişik yönlerde kararlar verilmesi ihtimali, Yargıtay ve Danıştay gibi çeşitli yüksek mahkemelerden oluşan yargı sistemimizin kaçınılmaz bir özelliği olarak kabul edilmelidir. Diğer yandan, bireylerin makul güvenlerinin korunması ve hukuki güvenlik ilkesi, içtihadın değişmezliği şeklinde bir hak bahşetmez. Mahkeme içtihatlarındaki değişme yargı organlarının takdir yetkisi kapsamında kalmakta olup, böyle bir değişiklik özü itibarıyla, önceki çözümün tatminkâr bulunmaması anlamına gelir. Ancak, aynı hususta daha önce çıkan kararlardan farklı bir hüküm kurulması halinde, mahkemelerce, bu farklılaşmaya ilişkin makul bir açıklama getirilmesi gerekmektedir. Yüksek mahkemelerin oynaması gereken rol tam da yargı kararlarında doğabilecek içtihat farklılıklarına bir çözüm getirmektir. Bununla birlikte, yeni kabul edilmiş bir yasanın yorumlanmasında olduğu gibi, bazı hallerde içtihadın müstakar hale gelmesinin belirli bir zamana ihtiyaç duyacağı açıktır (AYM, 06.01.2015, </w:t>
      </w:r>
      <w:proofErr w:type="spellStart"/>
      <w:r>
        <w:rPr>
          <w:rFonts w:ascii="Verdana" w:hAnsi="Verdana"/>
          <w:color w:val="000000"/>
          <w:sz w:val="15"/>
          <w:szCs w:val="15"/>
        </w:rPr>
        <w:t>B.No</w:t>
      </w:r>
      <w:proofErr w:type="spellEnd"/>
      <w:r>
        <w:rPr>
          <w:rFonts w:ascii="Verdana" w:hAnsi="Verdana"/>
          <w:color w:val="000000"/>
          <w:sz w:val="15"/>
          <w:szCs w:val="15"/>
        </w:rPr>
        <w:t>: 2013/6932).</w:t>
      </w:r>
    </w:p>
    <w:p w:rsidR="000F658C" w:rsidRDefault="000F658C" w:rsidP="000F658C">
      <w:pPr>
        <w:pStyle w:val="NormalWeb"/>
        <w:rPr>
          <w:rFonts w:ascii="Verdana" w:hAnsi="Verdana"/>
          <w:color w:val="000000"/>
          <w:sz w:val="15"/>
          <w:szCs w:val="15"/>
        </w:rPr>
      </w:pPr>
      <w:r>
        <w:rPr>
          <w:rFonts w:ascii="Verdana" w:hAnsi="Verdana"/>
          <w:color w:val="000000"/>
          <w:sz w:val="15"/>
          <w:szCs w:val="15"/>
        </w:rPr>
        <w:t>İçtihat değişikliğinin sürpriz karar yasağı çerçevesinde de değerlendirilmesi gerekir. Sürpriz karar, ilgilinin yargılamanın o ana kadarki seyrine göre, haklı olarak beklemediği, umulmadık bir kararla karşılaşmasıdır. Sürpriz karar yasağı ise, yargılamanın adil ve hakkaniyete uygun şekilde yürütülmesi durumunda tarafların öngöremedikleri bir kararla karşılaşmamalarını ifade eder. Sürpriz karar yasağı, hukukun gelişimine ve yeni şartlara uyarlanmasına engel olacak mutlak bir yasak olarak anlaşılmamalıdır. Şüphesiz mahkemeler yeni içtihatlar geliştirebilirler, önceki içtihatlardan farklı bir karar verilebilir, hatta yeni ve özelikle somut olayda ortaya çıkan hukuki durum bunu gerekli kılabilir. Ayrıca belirtmek gerekir ki, Hukuk Muhakemeleri Kanunu’nun 33. maddesi gereğince hâkimin hukuku kendiliğinden uygulaması söz konusu olduğunda sürpriz karar yasağının ihlalinden söz edilemez. Bununla birlikte mevcut içtihatlar dışında yeni bir görüş benimsenecekse, öncelikle tarafların bu konuda bilgilendirmesi gerekir (ÖZEKES, Muhammet, Medeni Usul Hukukunda Hukuki Dinlenilme Hakkı, Ankara 2003, s. 185 vd.).</w:t>
      </w:r>
    </w:p>
    <w:p w:rsidR="000F658C" w:rsidRDefault="000F658C" w:rsidP="000F658C">
      <w:pPr>
        <w:pStyle w:val="NormalWeb"/>
        <w:rPr>
          <w:rFonts w:ascii="Verdana" w:hAnsi="Verdana"/>
          <w:color w:val="000000"/>
          <w:sz w:val="15"/>
          <w:szCs w:val="15"/>
        </w:rPr>
      </w:pPr>
      <w:r>
        <w:rPr>
          <w:rFonts w:ascii="Verdana" w:hAnsi="Verdana"/>
          <w:color w:val="000000"/>
          <w:sz w:val="15"/>
          <w:szCs w:val="15"/>
        </w:rPr>
        <w:t>Yargıtay Birinci Başkanlık Kurulu’nun 07.07.2020 tarih ve 173 sayılı kararı ile aynı uyuşmazlıkların temyiz incelemesini yapmakla görevli 22.Hukuk Dairesinin kapatılması ve tüm işlerinin dairemize devredilmesi üzerine, belirsiz alacak davası ile ilgili yeniden yapılan değerlendirmeler sonucunda yukarıda belirtilen ilkeler kabul edilmiştir. Dairemizin daha önce belirsiz alacak davasına ilişkin uygulaması benimsenen yeni ilkelerden farklılık arz etmekteydi. Örneğin, hukuki yararın tamamlanabilir dava şartı olduğu; hukuki yarara ilişkin dava şartının eksik olması halinde davanın hemen reddedilmemesi; davacıya süre verilerek dava şartının tamamlattırılması gerektiği yönünde uygulama yapılmaktaydı. Dairemizin belirsiz alacak davası ile ilgili yukarıda belirtilen yeni ilkelerinin hemen uygulamaya konulması, dairenin önceki görüşüne güvenerek dava açanlar yönünden hukuki güvenlik, hukuki belirlilik, hukuki öngörülebilirlik ve sürpriz karar yasağı ilkelerinin ihlaline yol açacaktır. Bu sebeple, benimsenen yeni görüşün Yargıtay Kararları Dergisi ya da başkaca yollarla duyurulmasından itibaren makul bir süre sonra uygulamaya konulması, dairenin görüşüne güvenilerek açılan davalarda ise, önceki uygulamaya devam edilmesi uygun görülmüştür.</w:t>
      </w:r>
    </w:p>
    <w:p w:rsidR="000F658C" w:rsidRDefault="000F658C" w:rsidP="000F658C">
      <w:pPr>
        <w:pStyle w:val="NormalWeb"/>
        <w:rPr>
          <w:rFonts w:ascii="Verdana" w:hAnsi="Verdana"/>
          <w:color w:val="000000"/>
          <w:sz w:val="15"/>
          <w:szCs w:val="15"/>
        </w:rPr>
      </w:pPr>
      <w:r>
        <w:rPr>
          <w:rFonts w:ascii="Verdana" w:hAnsi="Verdana"/>
          <w:color w:val="000000"/>
          <w:sz w:val="15"/>
          <w:szCs w:val="15"/>
        </w:rPr>
        <w:t>Yukarıda yapılan açıklamalar dikkate alınarak dairenin önceki görüşüne güvenilerek belirsiz alacak şeklinde açılan bu davada, belirsiz alacak davasının şartlarının bulunmaması hususu bozma nedeni yapılmamıştır.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29. Belirli süreli iş sözleşmesi yapılması için objektif şartların bulunmadığını işverenin ileri sürebilmesinin mümkün olup olmadığı: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t>12</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 xml:space="preserve">Belirli süreli sözleşme yapmak için gereken objektif neden veya yenilemelerde esaslı neden olmadığı halde, taraflar arasında belirli süreli iş sözleşmesi yapıldığında ve işveren tarafından süresinden önce haklı bir neden olmaksızın feshine bağlı olarak işçi tarafından bakiye süreye ait ücret isteklerinden işverenin sözleşmenin belirsiz süreli olduğunun savunulmasının hakkın kötüye kullanımı olduğu sonucuna varılmıştır. </w:t>
      </w:r>
      <w:proofErr w:type="gramEnd"/>
      <w:r>
        <w:rPr>
          <w:rFonts w:ascii="Verdana" w:hAnsi="Verdana"/>
          <w:color w:val="000000"/>
          <w:sz w:val="15"/>
          <w:szCs w:val="15"/>
        </w:rPr>
        <w:t>Bu durumda işçi yararına talepler bakımından sözleşme belirli süreli olarak değerlendirilecektir. İşçi bakiye süreye ait ücretleri talep edebilir. İşveren tarafından süresinden önce haksız feshe bağlı cezai şart istenebilir ( bu konuda İBK da var). İşverenin ihbar tazminatı talebi dinlenmez.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30. Belirli süreli iş sözleşmesinin süre bitiminde kendiliğinden sona ermesi halinde kıdem tazminatı sorunu:</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Belirli süreli iş sözleşmesinin süresinden önce kıdem tazminatına hak kazanacak şekilde ter türlü sona ermesinde (emeklilik, işçinin haklı feshi, işverenin haksız feshi </w:t>
      </w:r>
      <w:proofErr w:type="spellStart"/>
      <w:r>
        <w:rPr>
          <w:rFonts w:ascii="Verdana" w:hAnsi="Verdana"/>
          <w:color w:val="000000"/>
          <w:sz w:val="15"/>
          <w:szCs w:val="15"/>
        </w:rPr>
        <w:t>vs</w:t>
      </w:r>
      <w:proofErr w:type="spellEnd"/>
      <w:r>
        <w:rPr>
          <w:rFonts w:ascii="Verdana" w:hAnsi="Verdana"/>
          <w:color w:val="000000"/>
          <w:sz w:val="15"/>
          <w:szCs w:val="15"/>
        </w:rPr>
        <w:t>) kıdem tazminatı talep hakkı mevcuttur.</w:t>
      </w:r>
    </w:p>
    <w:p w:rsidR="000F658C" w:rsidRDefault="000F658C" w:rsidP="000F658C">
      <w:pPr>
        <w:pStyle w:val="NormalWeb"/>
        <w:rPr>
          <w:rFonts w:ascii="Verdana" w:hAnsi="Verdana"/>
          <w:color w:val="000000"/>
          <w:sz w:val="15"/>
          <w:szCs w:val="15"/>
        </w:rPr>
      </w:pPr>
      <w:r>
        <w:rPr>
          <w:rFonts w:ascii="Verdana" w:hAnsi="Verdana"/>
          <w:color w:val="000000"/>
          <w:sz w:val="15"/>
          <w:szCs w:val="15"/>
        </w:rPr>
        <w:t>Belirli süreli iş sözleşmesinin süresinin sonunda yenilenmeyeceğinin işveren tarafından bildirilmesi halinde işçinin kıdem tazminatı hakkı mevcuttur.</w:t>
      </w:r>
    </w:p>
    <w:p w:rsidR="000F658C" w:rsidRDefault="000F658C" w:rsidP="000F658C">
      <w:pPr>
        <w:pStyle w:val="NormalWeb"/>
        <w:rPr>
          <w:rFonts w:ascii="Verdana" w:hAnsi="Verdana"/>
          <w:color w:val="000000"/>
          <w:sz w:val="15"/>
          <w:szCs w:val="15"/>
        </w:rPr>
      </w:pPr>
      <w:r>
        <w:rPr>
          <w:rFonts w:ascii="Verdana" w:hAnsi="Verdana"/>
          <w:color w:val="000000"/>
          <w:sz w:val="15"/>
          <w:szCs w:val="15"/>
        </w:rPr>
        <w:t>Belirli süreli iş sözleşmesinde sözleşmeyi yenilemeyeceğini işçi bildirdiğinde kıdem tazminatı talep edilemez.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Belirli süreli iş sözleşmesinin kendiliğinden sona ermesinde sadece Kanun gereği belirli süreli iş sözleşmesi yapılan hallerle (5580 SY) sınırlı olmak üzere kıdem tazminat talep edilebilir.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31. İş Müfettişi raporunun işçilik alacakları tespitine dair raporuna itirazda husumet ve hukuki yarar sorunu:</w:t>
      </w:r>
    </w:p>
    <w:p w:rsidR="000F658C" w:rsidRDefault="000F658C" w:rsidP="000F658C">
      <w:pPr>
        <w:pStyle w:val="NormalWeb"/>
        <w:rPr>
          <w:rFonts w:ascii="Verdana" w:hAnsi="Verdana"/>
          <w:color w:val="000000"/>
          <w:sz w:val="15"/>
          <w:szCs w:val="15"/>
        </w:rPr>
      </w:pPr>
      <w:r>
        <w:rPr>
          <w:rFonts w:ascii="Verdana" w:hAnsi="Verdana"/>
          <w:color w:val="000000"/>
          <w:sz w:val="15"/>
          <w:szCs w:val="15"/>
        </w:rPr>
        <w:t>İş Müfettişi tarafından tutulan tutanaklar ile düzenlenen raporların işçi alacaklarına ilişkin kısımlarına tarafların otuz gün içinde itiraz hakkı mevcut olup, bu kapsamda açılan davalarda ayrı bir hukuki yarar şartı aranmaz.</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 xml:space="preserve">İşçi şikâyeti veya genel nitelikteki teftiş sonucu işyerinin genel uygulamasının belirlendiği tutanak veya raporlara karşı dava, sadece Bakanlık aleyhine açılabilir. Tespite dair hakkın ilgilendirdiği işçilerin davaya </w:t>
      </w:r>
      <w:proofErr w:type="gramStart"/>
      <w:r>
        <w:rPr>
          <w:rFonts w:ascii="Verdana" w:hAnsi="Verdana"/>
          <w:color w:val="000000"/>
          <w:sz w:val="15"/>
          <w:szCs w:val="15"/>
        </w:rPr>
        <w:t>dahili</w:t>
      </w:r>
      <w:proofErr w:type="gramEnd"/>
      <w:r>
        <w:rPr>
          <w:rFonts w:ascii="Verdana" w:hAnsi="Verdana"/>
          <w:color w:val="000000"/>
          <w:sz w:val="15"/>
          <w:szCs w:val="15"/>
        </w:rPr>
        <w:t xml:space="preserve"> gerekmez.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İşçinin şikâyeti üzerine o işçinin haklarının miktar olarak açık biçimde belirlendiği hallerde ise işveren tarafından açılabilecek itiraz davasının, Bakanlık yanında işçiye de yöneltilmesi gerekir.</w:t>
      </w:r>
    </w:p>
    <w:p w:rsidR="000F658C" w:rsidRDefault="000F658C" w:rsidP="000F658C">
      <w:pPr>
        <w:pStyle w:val="NormalWeb"/>
        <w:rPr>
          <w:rFonts w:ascii="Verdana" w:hAnsi="Verdana"/>
          <w:color w:val="000000"/>
          <w:sz w:val="15"/>
          <w:szCs w:val="15"/>
        </w:rPr>
      </w:pPr>
      <w:r>
        <w:rPr>
          <w:rFonts w:ascii="Verdana" w:hAnsi="Verdana"/>
          <w:color w:val="000000"/>
          <w:sz w:val="15"/>
          <w:szCs w:val="15"/>
        </w:rPr>
        <w:t>32. 15 yıl 3600 gün uygulamasında işçinin önceden diğer işyeri ile sözleşme imzalamasının hakkın kötüye kullanımı:</w:t>
      </w:r>
    </w:p>
    <w:p w:rsidR="000F658C" w:rsidRDefault="000F658C" w:rsidP="000F658C">
      <w:pPr>
        <w:pStyle w:val="NormalWeb"/>
        <w:rPr>
          <w:rFonts w:ascii="Verdana" w:hAnsi="Verdana"/>
          <w:color w:val="000000"/>
          <w:sz w:val="15"/>
          <w:szCs w:val="15"/>
        </w:rPr>
      </w:pPr>
      <w:r>
        <w:rPr>
          <w:rFonts w:ascii="Verdana" w:hAnsi="Verdana"/>
          <w:color w:val="000000"/>
          <w:sz w:val="15"/>
          <w:szCs w:val="15"/>
        </w:rPr>
        <w:t>1475 sayılı Kanun'un 14/5. bendi kapsamında yaş hariç emeklilik sebebiyle ayrılmalarda işçinin daha sonra başka bir işverene ait işyerinde çalışmaya başlaması, ayrılmadan önce diğer işyeri ile görüşme ve hatta sözleşme yapması hakkın kötüye kullanımı olarak değerlendirilmez.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Yaş hariç emeklilik </w:t>
      </w:r>
      <w:proofErr w:type="gramStart"/>
      <w:r>
        <w:rPr>
          <w:rFonts w:ascii="Verdana" w:hAnsi="Verdana"/>
          <w:color w:val="000000"/>
          <w:sz w:val="15"/>
          <w:szCs w:val="15"/>
        </w:rPr>
        <w:t>kriterlerini</w:t>
      </w:r>
      <w:proofErr w:type="gramEnd"/>
      <w:r>
        <w:rPr>
          <w:rFonts w:ascii="Verdana" w:hAnsi="Verdana"/>
          <w:color w:val="000000"/>
          <w:sz w:val="15"/>
          <w:szCs w:val="15"/>
        </w:rPr>
        <w:t xml:space="preserve"> haiz olan işçi bu yolla kıdem tazminatı alma hakkını sadece bir kez kullanabilir.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İşçinin yeniden çalışması halinde yaş </w:t>
      </w:r>
      <w:proofErr w:type="gramStart"/>
      <w:r>
        <w:rPr>
          <w:rFonts w:ascii="Verdana" w:hAnsi="Verdana"/>
          <w:color w:val="000000"/>
          <w:sz w:val="15"/>
          <w:szCs w:val="15"/>
        </w:rPr>
        <w:t>dahil</w:t>
      </w:r>
      <w:proofErr w:type="gramEnd"/>
      <w:r>
        <w:rPr>
          <w:rFonts w:ascii="Verdana" w:hAnsi="Verdana"/>
          <w:color w:val="000000"/>
          <w:sz w:val="15"/>
          <w:szCs w:val="15"/>
        </w:rPr>
        <w:t xml:space="preserve"> emeklilik sebebiyle ayrılması halinde bir yıl çalışma şartı mevcutsa, son işverenin de kıdem tazminatı ödemesi gerekir.</w:t>
      </w:r>
    </w:p>
    <w:p w:rsidR="000F658C" w:rsidRDefault="000F658C" w:rsidP="000F658C">
      <w:pPr>
        <w:pStyle w:val="NormalWeb"/>
        <w:rPr>
          <w:rFonts w:ascii="Verdana" w:hAnsi="Verdana"/>
          <w:color w:val="000000"/>
          <w:sz w:val="15"/>
          <w:szCs w:val="15"/>
        </w:rPr>
      </w:pPr>
      <w:r>
        <w:rPr>
          <w:rFonts w:ascii="Verdana" w:hAnsi="Verdana"/>
          <w:color w:val="000000"/>
          <w:sz w:val="15"/>
          <w:szCs w:val="15"/>
        </w:rPr>
        <w:t>13</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33. Belirli süreli sözleşme için objektif neden faktöründe; teknik direktör, </w:t>
      </w:r>
      <w:proofErr w:type="gramStart"/>
      <w:r>
        <w:rPr>
          <w:rFonts w:ascii="Verdana" w:hAnsi="Verdana"/>
          <w:color w:val="000000"/>
          <w:sz w:val="15"/>
          <w:szCs w:val="15"/>
        </w:rPr>
        <w:t>antrenör</w:t>
      </w:r>
      <w:proofErr w:type="gramEnd"/>
      <w:r>
        <w:rPr>
          <w:rFonts w:ascii="Verdana" w:hAnsi="Verdana"/>
          <w:color w:val="000000"/>
          <w:sz w:val="15"/>
          <w:szCs w:val="15"/>
        </w:rPr>
        <w:t>, yurt dışında çalışma, Türkiye'deki yabancılık faktörü:</w:t>
      </w:r>
    </w:p>
    <w:p w:rsidR="000F658C" w:rsidRDefault="000F658C" w:rsidP="000F658C">
      <w:pPr>
        <w:pStyle w:val="NormalWeb"/>
        <w:rPr>
          <w:rFonts w:ascii="Verdana" w:hAnsi="Verdana"/>
          <w:color w:val="000000"/>
          <w:sz w:val="15"/>
          <w:szCs w:val="15"/>
        </w:rPr>
      </w:pPr>
      <w:r>
        <w:rPr>
          <w:rFonts w:ascii="Verdana" w:hAnsi="Verdana"/>
          <w:color w:val="000000"/>
          <w:sz w:val="15"/>
          <w:szCs w:val="15"/>
        </w:rPr>
        <w:t>Türkiye'de çalışan işçiler yönünden salt yabancılık unsuru belirli süreli iş sözleşmesi yapılması için objektif nedeni oluşturmaz. İşçinin çalışma veya ikamet izinlerinin süreli olması bu noktada önemsizdir.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Yurt dışında çalışan Türk işçileri bakımından Türkiye İş Kurumu aracılığıyla imzalanan sözleşmede süre öngörülmesi, sözleşmenin belirli süreli olduğunu göstermez. İşçinin ilk defa yurt dışındaki iş kapsamında çalıştırılmak üzere işe alınması ve işin belli bir süreye bağlı proje </w:t>
      </w:r>
      <w:proofErr w:type="gramStart"/>
      <w:r>
        <w:rPr>
          <w:rFonts w:ascii="Verdana" w:hAnsi="Verdana"/>
          <w:color w:val="000000"/>
          <w:sz w:val="15"/>
          <w:szCs w:val="15"/>
        </w:rPr>
        <w:t>bazlı</w:t>
      </w:r>
      <w:proofErr w:type="gramEnd"/>
      <w:r>
        <w:rPr>
          <w:rFonts w:ascii="Verdana" w:hAnsi="Verdana"/>
          <w:color w:val="000000"/>
          <w:sz w:val="15"/>
          <w:szCs w:val="15"/>
        </w:rPr>
        <w:t xml:space="preserve"> iş olması halinde projenin süresi ile uyumlu şekilde belirli süreli iş sözleşmesi yapılabilir.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Teknik direktör veya </w:t>
      </w:r>
      <w:proofErr w:type="gramStart"/>
      <w:r>
        <w:rPr>
          <w:rFonts w:ascii="Verdana" w:hAnsi="Verdana"/>
          <w:color w:val="000000"/>
          <w:sz w:val="15"/>
          <w:szCs w:val="15"/>
        </w:rPr>
        <w:t>antrenörlerle</w:t>
      </w:r>
      <w:proofErr w:type="gramEnd"/>
      <w:r>
        <w:rPr>
          <w:rFonts w:ascii="Verdana" w:hAnsi="Verdana"/>
          <w:color w:val="000000"/>
          <w:sz w:val="15"/>
          <w:szCs w:val="15"/>
        </w:rPr>
        <w:t xml:space="preserve"> yapılan belirli süreli iş sözleşmeleri belirli süreli olarak değerlendirilebilir.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34. </w:t>
      </w:r>
      <w:proofErr w:type="spellStart"/>
      <w:r>
        <w:rPr>
          <w:rFonts w:ascii="Verdana" w:hAnsi="Verdana"/>
          <w:color w:val="000000"/>
          <w:sz w:val="15"/>
          <w:szCs w:val="15"/>
        </w:rPr>
        <w:t>Rodövans</w:t>
      </w:r>
      <w:proofErr w:type="spellEnd"/>
      <w:r>
        <w:rPr>
          <w:rFonts w:ascii="Verdana" w:hAnsi="Verdana"/>
          <w:color w:val="000000"/>
          <w:sz w:val="15"/>
          <w:szCs w:val="15"/>
        </w:rPr>
        <w:t xml:space="preserve"> sözleşmelerinde ruhsat sahibinin işçilik alacaklarından sorumluluğu:</w:t>
      </w:r>
    </w:p>
    <w:p w:rsidR="000F658C" w:rsidRDefault="000F658C" w:rsidP="000F658C">
      <w:pPr>
        <w:pStyle w:val="NormalWeb"/>
        <w:rPr>
          <w:rFonts w:ascii="Verdana" w:hAnsi="Verdana"/>
          <w:color w:val="000000"/>
          <w:sz w:val="15"/>
          <w:szCs w:val="15"/>
        </w:rPr>
      </w:pPr>
      <w:proofErr w:type="spellStart"/>
      <w:r>
        <w:rPr>
          <w:rFonts w:ascii="Verdana" w:hAnsi="Verdana"/>
          <w:color w:val="000000"/>
          <w:sz w:val="15"/>
          <w:szCs w:val="15"/>
        </w:rPr>
        <w:t>Rödovans</w:t>
      </w:r>
      <w:proofErr w:type="spellEnd"/>
      <w:r>
        <w:rPr>
          <w:rFonts w:ascii="Verdana" w:hAnsi="Verdana"/>
          <w:color w:val="000000"/>
          <w:sz w:val="15"/>
          <w:szCs w:val="15"/>
        </w:rPr>
        <w:t xml:space="preserve"> sözleşmesi, maden işletme hakkı (ruhsat) sahibinin belirli süreliğine işletme hakkını devretmeyi taahhüt ettiği, devralanın da bunun karşılığında belirli miktarda üretim yapmayı ve ürettiğinden yıllık belirlenen miktar üzerinden bedelini ödemeyi taahhüt ettiği bir özel hukuk sözleşmesidir. Geçerli bir </w:t>
      </w:r>
      <w:proofErr w:type="spellStart"/>
      <w:r>
        <w:rPr>
          <w:rFonts w:ascii="Verdana" w:hAnsi="Verdana"/>
          <w:color w:val="000000"/>
          <w:sz w:val="15"/>
          <w:szCs w:val="15"/>
        </w:rPr>
        <w:t>rödovans</w:t>
      </w:r>
      <w:proofErr w:type="spellEnd"/>
      <w:r>
        <w:rPr>
          <w:rFonts w:ascii="Verdana" w:hAnsi="Verdana"/>
          <w:color w:val="000000"/>
          <w:sz w:val="15"/>
          <w:szCs w:val="15"/>
        </w:rPr>
        <w:t xml:space="preserve"> sözleşmesinde </w:t>
      </w:r>
      <w:proofErr w:type="spellStart"/>
      <w:r>
        <w:rPr>
          <w:rFonts w:ascii="Verdana" w:hAnsi="Verdana"/>
          <w:color w:val="000000"/>
          <w:sz w:val="15"/>
          <w:szCs w:val="15"/>
        </w:rPr>
        <w:t>rödovansçı</w:t>
      </w:r>
      <w:proofErr w:type="spellEnd"/>
      <w:r>
        <w:rPr>
          <w:rFonts w:ascii="Verdana" w:hAnsi="Verdana"/>
          <w:color w:val="000000"/>
          <w:sz w:val="15"/>
          <w:szCs w:val="15"/>
        </w:rPr>
        <w:t xml:space="preserve"> tarafından çalıştırılan işçilerin alacaklarından ruhsat sahibinin sorumluluğu yoktur. 10.06.2010 tarih ve 5995 sayılı Kanunla Maden Kanunu eklenen Ek Madde 7’de madencilik faaliyetlerinden doğacak İş Kanunu, iş sağlığı ve güvenliği ile ilgili idari, mali ve hukuki sorumlulukların </w:t>
      </w:r>
      <w:proofErr w:type="spellStart"/>
      <w:r>
        <w:rPr>
          <w:rFonts w:ascii="Verdana" w:hAnsi="Verdana"/>
          <w:color w:val="000000"/>
          <w:sz w:val="15"/>
          <w:szCs w:val="15"/>
        </w:rPr>
        <w:t>rödovansçıya</w:t>
      </w:r>
      <w:proofErr w:type="spellEnd"/>
      <w:r>
        <w:rPr>
          <w:rFonts w:ascii="Verdana" w:hAnsi="Verdana"/>
          <w:color w:val="000000"/>
          <w:sz w:val="15"/>
          <w:szCs w:val="15"/>
        </w:rPr>
        <w:t xml:space="preserve"> ait olduğunun açıkça belirtilmiş olması, bu tarihten önce ruhsat sahibinin sorumlu olduğu anlamı </w:t>
      </w:r>
      <w:proofErr w:type="spellStart"/>
      <w:proofErr w:type="gramStart"/>
      <w:r>
        <w:rPr>
          <w:rFonts w:ascii="Verdana" w:hAnsi="Verdana"/>
          <w:color w:val="000000"/>
          <w:sz w:val="15"/>
          <w:szCs w:val="15"/>
        </w:rPr>
        <w:t>çıkarılamaz.Ruhsat</w:t>
      </w:r>
      <w:proofErr w:type="spellEnd"/>
      <w:proofErr w:type="gramEnd"/>
      <w:r>
        <w:rPr>
          <w:rFonts w:ascii="Verdana" w:hAnsi="Verdana"/>
          <w:color w:val="000000"/>
          <w:sz w:val="15"/>
          <w:szCs w:val="15"/>
        </w:rPr>
        <w:t xml:space="preserve"> sahibi ile </w:t>
      </w:r>
      <w:proofErr w:type="spellStart"/>
      <w:r>
        <w:rPr>
          <w:rFonts w:ascii="Verdana" w:hAnsi="Verdana"/>
          <w:color w:val="000000"/>
          <w:sz w:val="15"/>
          <w:szCs w:val="15"/>
        </w:rPr>
        <w:t>rödovansçı</w:t>
      </w:r>
      <w:proofErr w:type="spellEnd"/>
      <w:r>
        <w:rPr>
          <w:rFonts w:ascii="Verdana" w:hAnsi="Verdana"/>
          <w:color w:val="000000"/>
          <w:sz w:val="15"/>
          <w:szCs w:val="15"/>
        </w:rPr>
        <w:t xml:space="preserve"> şirket arasındaki ilişki asıl işveren alt işveren ilişkisi değildir. Ancak sözleşme içeriği ile diğer delillere göre </w:t>
      </w:r>
      <w:proofErr w:type="spellStart"/>
      <w:r>
        <w:rPr>
          <w:rFonts w:ascii="Verdana" w:hAnsi="Verdana"/>
          <w:color w:val="000000"/>
          <w:sz w:val="15"/>
          <w:szCs w:val="15"/>
        </w:rPr>
        <w:t>rödovansçı</w:t>
      </w:r>
      <w:proofErr w:type="spellEnd"/>
      <w:r>
        <w:rPr>
          <w:rFonts w:ascii="Verdana" w:hAnsi="Verdana"/>
          <w:color w:val="000000"/>
          <w:sz w:val="15"/>
          <w:szCs w:val="15"/>
        </w:rPr>
        <w:t xml:space="preserve"> şirketin işin yürütümünde bağımsız bir işveren gibi örgütlenip örgütlenmediği değerlendirilecektir.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35. Avukata elektronik tebligat yerine fiziki olarak yapılan tebligatın hukuki niteliği:</w:t>
      </w:r>
    </w:p>
    <w:p w:rsidR="000F658C" w:rsidRDefault="000F658C" w:rsidP="000F658C">
      <w:pPr>
        <w:pStyle w:val="NormalWeb"/>
        <w:rPr>
          <w:rFonts w:ascii="Verdana" w:hAnsi="Verdana"/>
          <w:color w:val="000000"/>
          <w:sz w:val="15"/>
          <w:szCs w:val="15"/>
        </w:rPr>
      </w:pPr>
      <w:r>
        <w:rPr>
          <w:rFonts w:ascii="Verdana" w:hAnsi="Verdana"/>
          <w:color w:val="000000"/>
          <w:sz w:val="15"/>
          <w:szCs w:val="15"/>
        </w:rPr>
        <w:t>7201 sayılı Kanun'un 7/ a maddesinin 9. fıkrasında göre baro levhasına kayıtlı avukatlara tebligatın elektronik yolla yapılması zorunludur. Buna rağmen tebligatın posta yoluyla yapılması halinde tebligat yok hükmünde olmayıp, usulsüz tebligat olarak işlem görür ve Yönetmeliğin 53. maddesine göre işlem yapılır.</w:t>
      </w:r>
    </w:p>
    <w:p w:rsidR="000F658C" w:rsidRDefault="000F658C" w:rsidP="000F658C">
      <w:pPr>
        <w:pStyle w:val="NormalWeb"/>
        <w:rPr>
          <w:rFonts w:ascii="Verdana" w:hAnsi="Verdana"/>
          <w:color w:val="000000"/>
          <w:sz w:val="15"/>
          <w:szCs w:val="15"/>
        </w:rPr>
      </w:pPr>
      <w:r>
        <w:rPr>
          <w:rFonts w:ascii="Verdana" w:hAnsi="Verdana"/>
          <w:color w:val="000000"/>
          <w:sz w:val="15"/>
          <w:szCs w:val="15"/>
        </w:rPr>
        <w:t>36. İtirazın iptali davasında dava dilekçesi tebligatının vekile mi asile mi yapılacağı: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t>İtirazın iptali davası icra takibine itiraz üzerine takibin devamını sağlamaya yönelik bir dava olsa da, yeni bir dava olması sebebiyle dava dilekçesinin asile tebliği gerekir. Borca itiraz eden vekile tebligat yapılarak taraf teşkili sağlanamaz.</w:t>
      </w:r>
    </w:p>
    <w:p w:rsidR="000F658C" w:rsidRDefault="000F658C" w:rsidP="000F658C">
      <w:pPr>
        <w:pStyle w:val="NormalWeb"/>
        <w:rPr>
          <w:rFonts w:ascii="Verdana" w:hAnsi="Verdana"/>
          <w:color w:val="000000"/>
          <w:sz w:val="15"/>
          <w:szCs w:val="15"/>
        </w:rPr>
      </w:pPr>
      <w:r>
        <w:rPr>
          <w:rFonts w:ascii="Verdana" w:hAnsi="Verdana"/>
          <w:color w:val="000000"/>
          <w:sz w:val="15"/>
          <w:szCs w:val="15"/>
        </w:rPr>
        <w:t>14</w:t>
      </w:r>
    </w:p>
    <w:p w:rsidR="000F658C" w:rsidRDefault="000F658C" w:rsidP="000F658C">
      <w:pPr>
        <w:pStyle w:val="NormalWeb"/>
        <w:rPr>
          <w:rFonts w:ascii="Verdana" w:hAnsi="Verdana"/>
          <w:color w:val="000000"/>
          <w:sz w:val="15"/>
          <w:szCs w:val="15"/>
        </w:rPr>
      </w:pPr>
      <w:r>
        <w:rPr>
          <w:rFonts w:ascii="Verdana" w:hAnsi="Verdana"/>
          <w:color w:val="000000"/>
          <w:sz w:val="15"/>
          <w:szCs w:val="15"/>
        </w:rPr>
        <w:t>37. Bozma sonrası verilen hükümde kesinlik sınırının belirlenmesi:</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Bozmaya uyularak yapılan yargılama sonunda verilen kararda talep yığılmasına esas tüm alacak kalemleri tek tek gösterilmekte ve buna göre harç ve </w:t>
      </w:r>
      <w:proofErr w:type="gramStart"/>
      <w:r>
        <w:rPr>
          <w:rFonts w:ascii="Verdana" w:hAnsi="Verdana"/>
          <w:color w:val="000000"/>
          <w:sz w:val="15"/>
          <w:szCs w:val="15"/>
        </w:rPr>
        <w:t>vekalet</w:t>
      </w:r>
      <w:proofErr w:type="gramEnd"/>
      <w:r>
        <w:rPr>
          <w:rFonts w:ascii="Verdana" w:hAnsi="Verdana"/>
          <w:color w:val="000000"/>
          <w:sz w:val="15"/>
          <w:szCs w:val="15"/>
        </w:rPr>
        <w:t xml:space="preserve"> ücretleri belirlenerek hüküm altına alınmaktadır. Tazminat ve alacakların bir kısmının bozma dışı kaldığı belirtilerek bu alacakların kesinleştiğinden bahisle sadece bozmaya konu alacak kalemleri bakımından karar verilmemektedir. Böyle olunca bozma sonrası temyiz kesinlik sınırı, kararda gösterilen tüm tazminat ve alacakların toplamına göre belirlenir.</w:t>
      </w:r>
    </w:p>
    <w:p w:rsidR="000F658C" w:rsidRDefault="000F658C" w:rsidP="000F658C">
      <w:pPr>
        <w:pStyle w:val="NormalWeb"/>
        <w:rPr>
          <w:rFonts w:ascii="Verdana" w:hAnsi="Verdana"/>
          <w:color w:val="000000"/>
          <w:sz w:val="15"/>
          <w:szCs w:val="15"/>
        </w:rPr>
      </w:pPr>
      <w:r>
        <w:rPr>
          <w:rFonts w:ascii="Verdana" w:hAnsi="Verdana"/>
          <w:color w:val="000000"/>
          <w:sz w:val="15"/>
          <w:szCs w:val="15"/>
        </w:rPr>
        <w:lastRenderedPageBreak/>
        <w:t>38. Özel Okul Öğretmenlerine verilen ilave ek ders ücretinin “sosyal yardım” niteliğinde olup olmadığı:</w:t>
      </w:r>
    </w:p>
    <w:p w:rsidR="000F658C" w:rsidRDefault="000F658C" w:rsidP="000F658C">
      <w:pPr>
        <w:pStyle w:val="NormalWeb"/>
        <w:rPr>
          <w:rFonts w:ascii="Verdana" w:hAnsi="Verdana"/>
          <w:color w:val="000000"/>
          <w:sz w:val="15"/>
          <w:szCs w:val="15"/>
        </w:rPr>
      </w:pPr>
      <w:r>
        <w:rPr>
          <w:rFonts w:ascii="Verdana" w:hAnsi="Verdana"/>
          <w:color w:val="000000"/>
          <w:sz w:val="15"/>
          <w:szCs w:val="15"/>
        </w:rPr>
        <w:t>İlave ek ders ücreti hakkı, fiilen yapılan ek ders süresi ile bağlantılı olarak tanındığından doğrudan sosyal yardım niteliğinde kabul edilmemiştir.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39. Haftalık 45 saati aşmayan hallerde (günlük 11 saatin veya gece </w:t>
      </w:r>
      <w:proofErr w:type="gramStart"/>
      <w:r>
        <w:rPr>
          <w:rFonts w:ascii="Verdana" w:hAnsi="Verdana"/>
          <w:color w:val="000000"/>
          <w:sz w:val="15"/>
          <w:szCs w:val="15"/>
        </w:rPr>
        <w:t>7.5</w:t>
      </w:r>
      <w:proofErr w:type="gramEnd"/>
      <w:r>
        <w:rPr>
          <w:rFonts w:ascii="Verdana" w:hAnsi="Verdana"/>
          <w:color w:val="000000"/>
          <w:sz w:val="15"/>
          <w:szCs w:val="15"/>
        </w:rPr>
        <w:t xml:space="preserve"> saatin aşılması gibi) fazla çalışma alacağının hesaplanma yöntemi:</w:t>
      </w:r>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Haftalık çalışma süresinin 45 saati aşmadığı ancak günlük 11 saati aşan ve gece çalışmaları ile ağır ve tehlikeli işlerde </w:t>
      </w:r>
      <w:proofErr w:type="gramStart"/>
      <w:r>
        <w:rPr>
          <w:rFonts w:ascii="Verdana" w:hAnsi="Verdana"/>
          <w:color w:val="000000"/>
          <w:sz w:val="15"/>
          <w:szCs w:val="15"/>
        </w:rPr>
        <w:t>7.5</w:t>
      </w:r>
      <w:proofErr w:type="gramEnd"/>
      <w:r>
        <w:rPr>
          <w:rFonts w:ascii="Verdana" w:hAnsi="Verdana"/>
          <w:color w:val="000000"/>
          <w:sz w:val="15"/>
          <w:szCs w:val="15"/>
        </w:rPr>
        <w:t xml:space="preserve"> saatlik çalışma sınırını aşan çalışmalar Yargıtay uygulaması gereği fazla çalışma olarak değerlendirilmektedir. Sözü edilen yasak çalışmaların karşılığı % 50 zamlı olarak (saat ücretinin % 50 fazlasıyla) ödenmelidir. Başka bir anlatımla salt haftalık 45 saat olan çalışma süresinin aşılmadığından ve fazla çalışmanın zamsız kısmının maktu aylık ücret içinde ödendiğinden söz edilerek saat ücretinin yarısı üzerinden hesaplamaya gidilemez.</w:t>
      </w:r>
    </w:p>
    <w:p w:rsidR="000F658C" w:rsidRDefault="000F658C" w:rsidP="000F658C">
      <w:pPr>
        <w:pStyle w:val="NormalWeb"/>
        <w:rPr>
          <w:rFonts w:ascii="Verdana" w:hAnsi="Verdana"/>
          <w:color w:val="000000"/>
          <w:sz w:val="15"/>
          <w:szCs w:val="15"/>
        </w:rPr>
      </w:pPr>
      <w:r>
        <w:rPr>
          <w:rFonts w:ascii="Verdana" w:hAnsi="Verdana"/>
          <w:color w:val="000000"/>
          <w:sz w:val="15"/>
          <w:szCs w:val="15"/>
        </w:rPr>
        <w:t>40. Primli çalışmada fazla çalışma ücreti hesabı:</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-Ücret sadece primden oluşuyorsa:</w:t>
      </w:r>
    </w:p>
    <w:p w:rsidR="000F658C" w:rsidRDefault="000F658C" w:rsidP="000F658C">
      <w:pPr>
        <w:pStyle w:val="NormalWeb"/>
        <w:rPr>
          <w:rFonts w:ascii="Verdana" w:hAnsi="Verdana"/>
          <w:color w:val="000000"/>
          <w:sz w:val="15"/>
          <w:szCs w:val="15"/>
        </w:rPr>
      </w:pPr>
      <w:r>
        <w:rPr>
          <w:rFonts w:ascii="Verdana" w:hAnsi="Verdana"/>
          <w:color w:val="000000"/>
          <w:sz w:val="15"/>
          <w:szCs w:val="15"/>
        </w:rPr>
        <w:t>Ücret sadece primden oluşuyorsa fazla çalışma ücreti ödenen primin saat ücretinin % 50 fazlasıyla ödenir</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b</w:t>
      </w:r>
      <w:proofErr w:type="gramEnd"/>
      <w:r>
        <w:rPr>
          <w:rFonts w:ascii="Verdana" w:hAnsi="Verdana"/>
          <w:color w:val="000000"/>
          <w:sz w:val="15"/>
          <w:szCs w:val="15"/>
        </w:rPr>
        <w:t>-Ücret, sabit ücret ile hedefe veya kotaya bağlı primden oluşuyorsa;</w:t>
      </w:r>
    </w:p>
    <w:p w:rsidR="000F658C" w:rsidRDefault="000F658C" w:rsidP="000F658C">
      <w:pPr>
        <w:pStyle w:val="NormalWeb"/>
        <w:rPr>
          <w:rFonts w:ascii="Verdana" w:hAnsi="Verdana"/>
          <w:color w:val="000000"/>
          <w:sz w:val="15"/>
          <w:szCs w:val="15"/>
        </w:rPr>
      </w:pPr>
      <w:r>
        <w:rPr>
          <w:rFonts w:ascii="Verdana" w:hAnsi="Verdana"/>
          <w:color w:val="000000"/>
          <w:sz w:val="15"/>
          <w:szCs w:val="15"/>
        </w:rPr>
        <w:t>Hedefe veya belli bir kotanın aşılmasına bağlı prim ödemesi uygulamalarında işçinin fazla çalışma ücreti sabit ücret üzerinden saat ücretinin % 150 fazlasıyla ödenir. Başka bir anlatımla bu tür prim ödemelerinin fazla çalışma ücreti hesabına bir etkisi bulunmamaktadır. Bu yönde uygulamaya dair oybirliği mevcuttur.</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c</w:t>
      </w:r>
      <w:proofErr w:type="gramEnd"/>
      <w:r>
        <w:rPr>
          <w:rFonts w:ascii="Verdana" w:hAnsi="Verdana"/>
          <w:color w:val="000000"/>
          <w:sz w:val="15"/>
          <w:szCs w:val="15"/>
        </w:rPr>
        <w:t>-Ücret, sabit ücret ile satışa, sefer sayısına (</w:t>
      </w:r>
      <w:proofErr w:type="spellStart"/>
      <w:r>
        <w:rPr>
          <w:rFonts w:ascii="Verdana" w:hAnsi="Verdana"/>
          <w:color w:val="000000"/>
          <w:sz w:val="15"/>
          <w:szCs w:val="15"/>
        </w:rPr>
        <w:t>v.s</w:t>
      </w:r>
      <w:proofErr w:type="spellEnd"/>
      <w:r>
        <w:rPr>
          <w:rFonts w:ascii="Verdana" w:hAnsi="Verdana"/>
          <w:color w:val="000000"/>
          <w:sz w:val="15"/>
          <w:szCs w:val="15"/>
        </w:rPr>
        <w:t>) bağlı primden oluşuyorsa;</w:t>
      </w:r>
    </w:p>
    <w:p w:rsidR="000F658C" w:rsidRDefault="000F658C" w:rsidP="000F658C">
      <w:pPr>
        <w:pStyle w:val="NormalWeb"/>
        <w:rPr>
          <w:rFonts w:ascii="Verdana" w:hAnsi="Verdana"/>
          <w:color w:val="000000"/>
          <w:sz w:val="15"/>
          <w:szCs w:val="15"/>
        </w:rPr>
      </w:pPr>
      <w:r>
        <w:rPr>
          <w:rFonts w:ascii="Verdana" w:hAnsi="Verdana"/>
          <w:color w:val="000000"/>
          <w:sz w:val="15"/>
          <w:szCs w:val="15"/>
        </w:rPr>
        <w:t>Satışa, ürün miktarına, sefer sayısına veya gidilen kilometreye göre prim ödemelerinde ise sabit ücret üzerinden % 150 zamlı saat ücretine göre hesaplama yapılarak sabit ücrete göre hak kazanılan fazla çalışma ücreti belirlenir. Ödenen prim miktarının % 50 zam kısmına göre de hesaplama yapılır ve her iki hesap yöntemi toplanarak fazla çalışma ücreti belirlenir.</w:t>
      </w:r>
    </w:p>
    <w:p w:rsidR="000F658C" w:rsidRDefault="000F658C" w:rsidP="000F658C">
      <w:pPr>
        <w:pStyle w:val="NormalWeb"/>
        <w:rPr>
          <w:rFonts w:ascii="Verdana" w:hAnsi="Verdana"/>
          <w:color w:val="000000"/>
          <w:sz w:val="15"/>
          <w:szCs w:val="15"/>
        </w:rPr>
      </w:pPr>
      <w:r>
        <w:rPr>
          <w:rFonts w:ascii="Verdana" w:hAnsi="Verdana"/>
          <w:color w:val="000000"/>
          <w:sz w:val="15"/>
          <w:szCs w:val="15"/>
        </w:rPr>
        <w:t>Örneğin işçinin 3000 TL sabit ücret ve 1000 TL ortalama prim aldığı durumda 3000TL/225 saat x 1,5 x fazla çalışma saat sayısı = A şeklinde sabit ücrete göre hak kazanılan fazla çalışma ücreti belirlenir. Aynı dönem için ödenen primlerin, fazla</w:t>
      </w:r>
    </w:p>
    <w:p w:rsidR="000F658C" w:rsidRDefault="000F658C" w:rsidP="000F658C">
      <w:pPr>
        <w:pStyle w:val="NormalWeb"/>
        <w:rPr>
          <w:rFonts w:ascii="Verdana" w:hAnsi="Verdana"/>
          <w:color w:val="000000"/>
          <w:sz w:val="15"/>
          <w:szCs w:val="15"/>
        </w:rPr>
      </w:pPr>
      <w:r>
        <w:rPr>
          <w:rFonts w:ascii="Verdana" w:hAnsi="Verdana"/>
          <w:color w:val="000000"/>
          <w:sz w:val="15"/>
          <w:szCs w:val="15"/>
        </w:rPr>
        <w:t>15</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çalışmanın</w:t>
      </w:r>
      <w:proofErr w:type="gramEnd"/>
      <w:r>
        <w:rPr>
          <w:rFonts w:ascii="Verdana" w:hAnsi="Verdana"/>
          <w:color w:val="000000"/>
          <w:sz w:val="15"/>
          <w:szCs w:val="15"/>
        </w:rPr>
        <w:t xml:space="preserve"> zamsız kısmını karşıladığı kabul edilerek, prim tutarı için 1000TL/225 saat x 0,5 x fazla çalışma saat sayısı = B hesabıyla prime düşen fazla çalışma ücreti belirlenir. A+B toplamı o dönem için hak kazanılan fazla çalışma ücretini belirler. Belirtilen hesap yöntemi birleşme sonrası 9. Hukuk Dairesi tarafından oyçokluğuyla benimsenmiştir.</w:t>
      </w:r>
    </w:p>
    <w:p w:rsidR="000F658C" w:rsidRDefault="000F658C" w:rsidP="000F658C">
      <w:pPr>
        <w:pStyle w:val="NormalWeb"/>
        <w:rPr>
          <w:rFonts w:ascii="Verdana" w:hAnsi="Verdana"/>
          <w:color w:val="000000"/>
          <w:sz w:val="15"/>
          <w:szCs w:val="15"/>
        </w:rPr>
      </w:pPr>
      <w:r>
        <w:rPr>
          <w:rFonts w:ascii="Verdana" w:hAnsi="Verdana"/>
          <w:color w:val="000000"/>
          <w:sz w:val="15"/>
          <w:szCs w:val="15"/>
        </w:rPr>
        <w:t>41. Serbest bölgede faaliyet gösteren işyerinde gelir vergisi istisnasının işçiye ödenip ödenmeyeceği:</w:t>
      </w:r>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Serbest bölgede faaliyet gösteren yatırımcı-üreticinin bu bölgede ürettiği ürünlerinin FOB bedelinin en az % 85 ini yurt dışına ihraç etmeleri halinde ihracata yönelik yatırım ve üretimi teşvik etmek amacıyla istihdam ettikleri personele ödedikleri ücretler üzerinden asgari geçim indirimi uygulandıktan sonra hesaplanan gelir vergisi, verilecek muhtasar beyanname üzerinden tahakkuk eden vergiden indirilmek suretiyle terkin edileceği belirtilerek üretici ve ihracatçılara yönelik teşvik ve destek sağlanmakta olup, gelir stopaj teşviki işçilere sağlanan avantaj olmayıp işverenlerin istihdam maliyetini azaltmaya yönelik teşvik oluşu dikkate alındığında çalışanların bu teşvik unsuru üzerinden hak iddia etmeleri mümkün değildir.</w:t>
      </w:r>
      <w:proofErr w:type="gramEnd"/>
    </w:p>
    <w:p w:rsidR="000F658C" w:rsidRDefault="000F658C" w:rsidP="000F658C">
      <w:pPr>
        <w:pStyle w:val="NormalWeb"/>
        <w:rPr>
          <w:rFonts w:ascii="Verdana" w:hAnsi="Verdana"/>
          <w:color w:val="000000"/>
          <w:sz w:val="15"/>
          <w:szCs w:val="15"/>
        </w:rPr>
      </w:pPr>
      <w:proofErr w:type="gramStart"/>
      <w:r>
        <w:rPr>
          <w:rFonts w:ascii="Verdana" w:hAnsi="Verdana"/>
          <w:color w:val="000000"/>
          <w:sz w:val="15"/>
          <w:szCs w:val="15"/>
        </w:rPr>
        <w:t>3218 sayılı Serbest Bölgeler Kanunun geçici 3.maddesinde, 2017 yılında yapılan değişiklikle "Bu bölgelerde üretilen ürünlerin FOB bedelinin en az %85’ini yurt dışına ihraç eden mükelleflerin istihdam ettikleri personele ödedikleri ücretler üzerinden asgari geçim indirimi uygulandıktan sonra hesaplanan gelir vergisi, verilecek muhtasar beyanname üzerinden tahakkuk eden vergiden indirilmek suretiyle terkin edilir" kuralı getirilmiş olmakla işçi ücretlerinden gelir vergisi istisnasının işveren adına teşvik mahiyetinde olduğu daha açık biçimde düzenlenmiştir.</w:t>
      </w:r>
      <w:proofErr w:type="gramEnd"/>
    </w:p>
    <w:p w:rsidR="000F658C" w:rsidRDefault="000F658C" w:rsidP="000F658C">
      <w:pPr>
        <w:pStyle w:val="NormalWeb"/>
        <w:rPr>
          <w:rFonts w:ascii="Verdana" w:hAnsi="Verdana"/>
          <w:color w:val="000000"/>
          <w:sz w:val="15"/>
          <w:szCs w:val="15"/>
        </w:rPr>
      </w:pPr>
      <w:r>
        <w:rPr>
          <w:rFonts w:ascii="Verdana" w:hAnsi="Verdana"/>
          <w:color w:val="000000"/>
          <w:sz w:val="15"/>
          <w:szCs w:val="15"/>
        </w:rPr>
        <w:t xml:space="preserve">Değişiklik öncesi ve sonrası dönem için işçinin gelir vergisi istisnasından yararlanma </w:t>
      </w:r>
      <w:proofErr w:type="gramStart"/>
      <w:r>
        <w:rPr>
          <w:rFonts w:ascii="Verdana" w:hAnsi="Verdana"/>
          <w:color w:val="000000"/>
          <w:sz w:val="15"/>
          <w:szCs w:val="15"/>
        </w:rPr>
        <w:t>imkanı</w:t>
      </w:r>
      <w:proofErr w:type="gramEnd"/>
      <w:r>
        <w:rPr>
          <w:rFonts w:ascii="Verdana" w:hAnsi="Verdana"/>
          <w:color w:val="000000"/>
          <w:sz w:val="15"/>
          <w:szCs w:val="15"/>
        </w:rPr>
        <w:t xml:space="preserve"> bulunmamaktadır.</w:t>
      </w:r>
    </w:p>
    <w:p w:rsidR="004A5385" w:rsidRDefault="000F658C" w:rsidP="000F658C">
      <w:pPr>
        <w:pStyle w:val="NormalWeb"/>
      </w:pPr>
      <w:r>
        <w:rPr>
          <w:rFonts w:ascii="Verdana" w:hAnsi="Verdana"/>
          <w:color w:val="000000"/>
          <w:sz w:val="15"/>
          <w:szCs w:val="15"/>
        </w:rPr>
        <w:t> </w:t>
      </w:r>
      <w:bookmarkStart w:id="0" w:name="_GoBack"/>
      <w:bookmarkEnd w:id="0"/>
    </w:p>
    <w:sectPr w:rsidR="004A5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C"/>
    <w:rsid w:val="000F658C"/>
    <w:rsid w:val="004A5385"/>
    <w:rsid w:val="009B1F99"/>
    <w:rsid w:val="00C66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5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5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6554</Words>
  <Characters>37358</Characters>
  <Application>Microsoft Office Word</Application>
  <DocSecurity>0</DocSecurity>
  <Lines>311</Lines>
  <Paragraphs>87</Paragraphs>
  <ScaleCrop>false</ScaleCrop>
  <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THB-06</dc:creator>
  <cp:lastModifiedBy>THB-06</cp:lastModifiedBy>
  <cp:revision>1</cp:revision>
  <dcterms:created xsi:type="dcterms:W3CDTF">2020-10-05T12:35:00Z</dcterms:created>
  <dcterms:modified xsi:type="dcterms:W3CDTF">2020-10-05T12:36:00Z</dcterms:modified>
</cp:coreProperties>
</file>