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E4" w:rsidRDefault="00D636E4" w:rsidP="00D636E4">
      <w:pPr>
        <w:pStyle w:val="AralkYok"/>
        <w:rPr>
          <w:rFonts w:ascii="Verdana" w:hAnsi="Verdana"/>
          <w:b/>
          <w:sz w:val="24"/>
          <w:szCs w:val="24"/>
        </w:rPr>
      </w:pPr>
      <w:r>
        <w:rPr>
          <w:noProof/>
          <w:lang w:eastAsia="tr-TR"/>
        </w:rPr>
        <w:drawing>
          <wp:inline distT="0" distB="0" distL="0" distR="0" wp14:anchorId="2F2B5E94" wp14:editId="2DD82F8E">
            <wp:extent cx="1009109" cy="482600"/>
            <wp:effectExtent l="0" t="0" r="635" b="0"/>
            <wp:docPr id="1" name="Picture 3" descr="C:\Users\Şeref\Desktop\Pam- işa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C:\Users\Şeref\Desktop\Pam- işare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09918" cy="482987"/>
                    </a:xfrm>
                    <a:prstGeom prst="rect">
                      <a:avLst/>
                    </a:prstGeom>
                    <a:noFill/>
                    <a:extLst/>
                  </pic:spPr>
                </pic:pic>
              </a:graphicData>
            </a:graphic>
          </wp:inline>
        </w:drawing>
      </w:r>
    </w:p>
    <w:p w:rsidR="00D636E4" w:rsidRPr="00D636E4" w:rsidRDefault="00D636E4" w:rsidP="00D636E4">
      <w:pPr>
        <w:pStyle w:val="AralkYok"/>
        <w:rPr>
          <w:sz w:val="10"/>
          <w:szCs w:val="10"/>
        </w:rPr>
      </w:pPr>
      <w:r w:rsidRPr="00D636E4">
        <w:rPr>
          <w:sz w:val="10"/>
          <w:szCs w:val="10"/>
        </w:rPr>
        <w:t>PANORAMA ARABULUCULUK MERKEZİ</w:t>
      </w:r>
    </w:p>
    <w:p w:rsidR="00D636E4" w:rsidRDefault="00D636E4" w:rsidP="00D636E4">
      <w:pPr>
        <w:pStyle w:val="AralkYok"/>
        <w:rPr>
          <w:rFonts w:ascii="Verdana" w:hAnsi="Verdana"/>
          <w:b/>
          <w:sz w:val="24"/>
          <w:szCs w:val="24"/>
        </w:rPr>
      </w:pPr>
    </w:p>
    <w:p w:rsidR="00540C6B" w:rsidRDefault="00E954D9" w:rsidP="00540C6B">
      <w:pPr>
        <w:ind w:right="284"/>
        <w:jc w:val="center"/>
        <w:rPr>
          <w:rFonts w:ascii="Verdana" w:eastAsia="Calibri" w:hAnsi="Verdana" w:cs="Times New Roman"/>
          <w:b/>
          <w:sz w:val="24"/>
          <w:szCs w:val="24"/>
          <w:lang w:val="tr-TR"/>
        </w:rPr>
      </w:pPr>
      <w:r>
        <w:rPr>
          <w:rFonts w:ascii="Verdana" w:eastAsia="Calibri" w:hAnsi="Verdana" w:cs="Times New Roman"/>
          <w:b/>
          <w:sz w:val="24"/>
          <w:szCs w:val="24"/>
          <w:lang w:val="tr-TR"/>
        </w:rPr>
        <w:t xml:space="preserve">TİCARİ UYUŞMAZLIKLARDA </w:t>
      </w:r>
      <w:r w:rsidR="003F51D7" w:rsidRPr="003F51D7">
        <w:rPr>
          <w:rFonts w:ascii="Verdana" w:eastAsia="Calibri" w:hAnsi="Verdana" w:cs="Times New Roman"/>
          <w:b/>
          <w:sz w:val="24"/>
          <w:szCs w:val="24"/>
          <w:lang w:val="tr-TR"/>
        </w:rPr>
        <w:t xml:space="preserve">ARABULUCULUK </w:t>
      </w:r>
      <w:r w:rsidR="00540C6B" w:rsidRPr="00540C6B">
        <w:rPr>
          <w:rFonts w:ascii="Verdana" w:eastAsia="Calibri" w:hAnsi="Verdana" w:cs="Times New Roman"/>
          <w:b/>
          <w:sz w:val="24"/>
          <w:szCs w:val="24"/>
          <w:lang w:val="tr-TR"/>
        </w:rPr>
        <w:t>BİLGİLENDİRME TUTANAĞI</w:t>
      </w:r>
    </w:p>
    <w:p w:rsidR="009F12D6" w:rsidRPr="00243EFB" w:rsidRDefault="009F12D6" w:rsidP="009F12D6">
      <w:pPr>
        <w:pStyle w:val="AralkYok"/>
        <w:rPr>
          <w:rFonts w:ascii="Verdana" w:hAnsi="Verdana"/>
          <w:sz w:val="18"/>
          <w:szCs w:val="18"/>
        </w:rPr>
      </w:pPr>
      <w:r w:rsidRPr="00243EFB">
        <w:rPr>
          <w:rFonts w:ascii="Verdana" w:hAnsi="Verdana"/>
          <w:sz w:val="18"/>
          <w:szCs w:val="18"/>
        </w:rPr>
        <w:t>Arabuluculuk Bürosu</w:t>
      </w:r>
      <w:r w:rsidRPr="00243EFB">
        <w:rPr>
          <w:rFonts w:ascii="Verdana" w:hAnsi="Verdana"/>
          <w:sz w:val="18"/>
          <w:szCs w:val="18"/>
        </w:rPr>
        <w:tab/>
        <w:t xml:space="preserve">:  </w:t>
      </w:r>
    </w:p>
    <w:p w:rsidR="009F12D6" w:rsidRPr="00243EFB" w:rsidRDefault="009F12D6" w:rsidP="009F12D6">
      <w:pPr>
        <w:pStyle w:val="AralkYok"/>
        <w:rPr>
          <w:rFonts w:ascii="Verdana" w:hAnsi="Verdana"/>
          <w:sz w:val="18"/>
          <w:szCs w:val="18"/>
        </w:rPr>
      </w:pPr>
      <w:r w:rsidRPr="00243EFB">
        <w:rPr>
          <w:rFonts w:ascii="Verdana" w:hAnsi="Verdana"/>
          <w:sz w:val="18"/>
          <w:szCs w:val="18"/>
        </w:rPr>
        <w:t>Büro Dosya Numarası</w:t>
      </w:r>
      <w:r w:rsidRPr="00243EFB">
        <w:rPr>
          <w:rFonts w:ascii="Verdana" w:hAnsi="Verdana"/>
          <w:sz w:val="18"/>
          <w:szCs w:val="18"/>
        </w:rPr>
        <w:tab/>
        <w:t>:</w:t>
      </w:r>
      <w:r w:rsidRPr="00243EFB">
        <w:rPr>
          <w:rFonts w:ascii="Verdana" w:hAnsi="Verdana"/>
          <w:sz w:val="18"/>
          <w:szCs w:val="18"/>
        </w:rPr>
        <w:tab/>
      </w:r>
    </w:p>
    <w:p w:rsidR="009F12D6" w:rsidRPr="00540C6B" w:rsidRDefault="009F12D6" w:rsidP="009F12D6">
      <w:pPr>
        <w:ind w:right="284"/>
        <w:rPr>
          <w:rFonts w:ascii="Verdana" w:eastAsia="Calibri" w:hAnsi="Verdana" w:cs="Times New Roman"/>
          <w:b/>
          <w:sz w:val="24"/>
          <w:szCs w:val="24"/>
          <w:lang w:val="tr-TR"/>
        </w:rPr>
      </w:pPr>
      <w:r w:rsidRPr="00243EFB">
        <w:rPr>
          <w:rFonts w:ascii="Verdana" w:hAnsi="Verdana"/>
          <w:sz w:val="18"/>
          <w:szCs w:val="18"/>
        </w:rPr>
        <w:t>Arabuluculuk Numarası</w:t>
      </w:r>
      <w:r w:rsidRPr="00243EFB">
        <w:rPr>
          <w:rFonts w:ascii="Verdana" w:hAnsi="Verdana"/>
          <w:sz w:val="18"/>
          <w:szCs w:val="18"/>
        </w:rPr>
        <w:tab/>
        <w:t>:</w:t>
      </w:r>
    </w:p>
    <w:p w:rsidR="00540C6B" w:rsidRPr="00540C6B" w:rsidRDefault="00540C6B" w:rsidP="00540C6B">
      <w:pPr>
        <w:ind w:right="284"/>
        <w:jc w:val="both"/>
        <w:rPr>
          <w:rFonts w:ascii="Verdana" w:eastAsia="Calibri" w:hAnsi="Verdana" w:cs="Times New Roman"/>
          <w:sz w:val="18"/>
          <w:szCs w:val="18"/>
          <w:lang w:val="tr-TR"/>
        </w:rPr>
      </w:pPr>
      <w:r w:rsidRPr="00540C6B">
        <w:rPr>
          <w:rFonts w:ascii="Verdana" w:eastAsia="Calibri" w:hAnsi="Verdana" w:cs="Times New Roman"/>
          <w:sz w:val="18"/>
          <w:szCs w:val="18"/>
          <w:lang w:val="tr-TR"/>
        </w:rPr>
        <w:t>İşbu bilgilendirme tutanağı 6325 sayılı Hukuk Uyuşmazlıkları</w:t>
      </w:r>
      <w:r w:rsidR="004725C8">
        <w:rPr>
          <w:rFonts w:ascii="Verdana" w:eastAsia="Calibri" w:hAnsi="Verdana" w:cs="Times New Roman"/>
          <w:sz w:val="18"/>
          <w:szCs w:val="18"/>
          <w:lang w:val="tr-TR"/>
        </w:rPr>
        <w:t>nda Arabuluculuk Kanununun 11. m</w:t>
      </w:r>
      <w:r w:rsidRPr="00540C6B">
        <w:rPr>
          <w:rFonts w:ascii="Verdana" w:eastAsia="Calibri" w:hAnsi="Verdana" w:cs="Times New Roman"/>
          <w:sz w:val="18"/>
          <w:szCs w:val="18"/>
          <w:lang w:val="tr-TR"/>
        </w:rPr>
        <w:t>addesi ve Hukuk Uyuşmazlıklarında</w:t>
      </w:r>
      <w:r w:rsidR="008849CD">
        <w:rPr>
          <w:rFonts w:ascii="Verdana" w:eastAsia="Calibri" w:hAnsi="Verdana" w:cs="Times New Roman"/>
          <w:sz w:val="18"/>
          <w:szCs w:val="18"/>
          <w:lang w:val="tr-TR"/>
        </w:rPr>
        <w:t xml:space="preserve"> Arabuluculuk Yönetmeliği</w:t>
      </w:r>
      <w:r w:rsidRPr="00540C6B">
        <w:rPr>
          <w:rFonts w:ascii="Verdana" w:eastAsia="Calibri" w:hAnsi="Verdana" w:cs="Times New Roman"/>
          <w:sz w:val="18"/>
          <w:szCs w:val="18"/>
          <w:lang w:val="tr-TR"/>
        </w:rPr>
        <w:t xml:space="preserve"> </w:t>
      </w:r>
      <w:r w:rsidR="00FF627C">
        <w:rPr>
          <w:rFonts w:ascii="Verdana" w:eastAsia="Calibri" w:hAnsi="Verdana" w:cs="Times New Roman"/>
          <w:sz w:val="18"/>
          <w:szCs w:val="18"/>
          <w:lang w:val="tr-TR"/>
        </w:rPr>
        <w:t xml:space="preserve">13. maddesi </w:t>
      </w:r>
      <w:r w:rsidRPr="00540C6B">
        <w:rPr>
          <w:rFonts w:ascii="Verdana" w:eastAsia="Calibri" w:hAnsi="Verdana" w:cs="Times New Roman"/>
          <w:sz w:val="18"/>
          <w:szCs w:val="18"/>
          <w:lang w:val="tr-TR"/>
        </w:rPr>
        <w:t xml:space="preserve">gereğince, arabuluculuk faaliyetinin başında, tarafları arabuluculuğun esasları, süreci ve hukuki sonuçları hakkında, </w:t>
      </w:r>
      <w:r w:rsidR="008849CD">
        <w:rPr>
          <w:rFonts w:ascii="Verdana" w:eastAsia="Calibri" w:hAnsi="Verdana" w:cs="Times New Roman"/>
          <w:sz w:val="18"/>
          <w:szCs w:val="18"/>
          <w:lang w:val="tr-TR"/>
        </w:rPr>
        <w:t xml:space="preserve"> </w:t>
      </w:r>
      <w:r w:rsidRPr="00540C6B">
        <w:rPr>
          <w:rFonts w:ascii="Verdana" w:eastAsia="Calibri" w:hAnsi="Verdana" w:cs="Times New Roman"/>
          <w:sz w:val="18"/>
          <w:szCs w:val="18"/>
          <w:lang w:val="tr-TR"/>
        </w:rPr>
        <w:t xml:space="preserve">şahsen ve doğrudan bilgilendirme amacıyla hazırlanmıştır. </w:t>
      </w:r>
    </w:p>
    <w:p w:rsidR="00540C6B" w:rsidRPr="003F51D7" w:rsidRDefault="00540C6B" w:rsidP="003F51D7">
      <w:pPr>
        <w:pStyle w:val="ListeParagraf"/>
        <w:numPr>
          <w:ilvl w:val="0"/>
          <w:numId w:val="5"/>
        </w:numPr>
        <w:tabs>
          <w:tab w:val="left" w:pos="6804"/>
        </w:tabs>
        <w:ind w:right="284"/>
        <w:rPr>
          <w:rFonts w:ascii="Verdana" w:eastAsia="Calibri" w:hAnsi="Verdana" w:cs="Times New Roman"/>
          <w:b/>
          <w:sz w:val="18"/>
          <w:szCs w:val="18"/>
          <w:highlight w:val="lightGray"/>
          <w:u w:val="single"/>
          <w:lang w:val="tr-TR"/>
        </w:rPr>
      </w:pPr>
      <w:r w:rsidRPr="003F51D7">
        <w:rPr>
          <w:rFonts w:ascii="Verdana" w:eastAsia="Calibri" w:hAnsi="Verdana" w:cs="Times New Roman"/>
          <w:b/>
          <w:sz w:val="18"/>
          <w:szCs w:val="18"/>
          <w:highlight w:val="lightGray"/>
          <w:u w:val="single"/>
          <w:lang w:val="tr-TR"/>
        </w:rPr>
        <w:t>TANIMLAR</w:t>
      </w:r>
      <w:r w:rsidR="003F51D7" w:rsidRPr="003F51D7">
        <w:rPr>
          <w:rFonts w:ascii="Verdana" w:eastAsia="Calibri" w:hAnsi="Verdana" w:cs="Times New Roman"/>
          <w:b/>
          <w:sz w:val="18"/>
          <w:szCs w:val="18"/>
          <w:highlight w:val="lightGray"/>
          <w:u w:val="single"/>
          <w:lang w:val="tr-TR"/>
        </w:rPr>
        <w:tab/>
        <w:t>:</w:t>
      </w:r>
    </w:p>
    <w:p w:rsidR="00540C6B" w:rsidRDefault="00DE708A" w:rsidP="00DE708A">
      <w:pPr>
        <w:ind w:left="709" w:right="284" w:hanging="709"/>
        <w:contextualSpacing/>
        <w:jc w:val="both"/>
        <w:rPr>
          <w:rFonts w:ascii="Verdana" w:eastAsia="Calibri" w:hAnsi="Verdana" w:cs="Times New Roman"/>
          <w:sz w:val="18"/>
          <w:szCs w:val="18"/>
          <w:lang w:val="tr-TR"/>
        </w:rPr>
      </w:pPr>
      <w:r>
        <w:rPr>
          <w:rFonts w:ascii="Verdana" w:eastAsia="Calibri" w:hAnsi="Verdana" w:cs="Times New Roman"/>
          <w:sz w:val="18"/>
          <w:szCs w:val="18"/>
          <w:lang w:val="tr-TR"/>
        </w:rPr>
        <w:t>1.1.</w:t>
      </w:r>
      <w:r>
        <w:rPr>
          <w:rFonts w:ascii="Verdana" w:eastAsia="Calibri" w:hAnsi="Verdana" w:cs="Times New Roman"/>
          <w:sz w:val="18"/>
          <w:szCs w:val="18"/>
          <w:lang w:val="tr-TR"/>
        </w:rPr>
        <w:tab/>
      </w:r>
      <w:r w:rsidR="00540C6B" w:rsidRPr="00540C6B">
        <w:rPr>
          <w:rFonts w:ascii="Verdana" w:eastAsia="Calibri" w:hAnsi="Verdana" w:cs="Times New Roman"/>
          <w:sz w:val="18"/>
          <w:szCs w:val="18"/>
          <w:lang w:val="tr-TR"/>
        </w:rPr>
        <w:t>Arabulucu: Arabuluculuk faaliyetini yürüten ve Bakanlıkça düzenlenen arabulucular siciline kaydedilmiş bulunan gerçek kişiyi,</w:t>
      </w:r>
    </w:p>
    <w:p w:rsidR="00DE708A" w:rsidRDefault="00DE708A" w:rsidP="00AC75C4">
      <w:pPr>
        <w:ind w:right="284"/>
        <w:contextualSpacing/>
        <w:jc w:val="both"/>
        <w:rPr>
          <w:rFonts w:ascii="Verdana" w:eastAsia="Calibri" w:hAnsi="Verdana" w:cs="Times New Roman"/>
          <w:sz w:val="18"/>
          <w:szCs w:val="18"/>
          <w:lang w:val="tr-TR"/>
        </w:rPr>
      </w:pPr>
    </w:p>
    <w:p w:rsidR="00757A92" w:rsidRPr="00540C6B" w:rsidRDefault="00DE708A" w:rsidP="00DE708A">
      <w:pPr>
        <w:ind w:left="709" w:right="284" w:hanging="709"/>
        <w:contextualSpacing/>
        <w:jc w:val="both"/>
        <w:rPr>
          <w:rFonts w:ascii="Verdana" w:eastAsia="Calibri" w:hAnsi="Verdana" w:cs="Times New Roman"/>
          <w:sz w:val="18"/>
          <w:szCs w:val="18"/>
          <w:lang w:val="tr-TR"/>
        </w:rPr>
      </w:pPr>
      <w:r>
        <w:rPr>
          <w:rFonts w:ascii="Verdana" w:eastAsia="Calibri" w:hAnsi="Verdana" w:cs="Times New Roman"/>
          <w:sz w:val="18"/>
          <w:szCs w:val="18"/>
          <w:lang w:val="tr-TR"/>
        </w:rPr>
        <w:t>1.2.</w:t>
      </w:r>
      <w:r w:rsidR="002242C0">
        <w:rPr>
          <w:rFonts w:ascii="Verdana" w:eastAsia="Calibri" w:hAnsi="Verdana" w:cs="Times New Roman"/>
          <w:sz w:val="18"/>
          <w:szCs w:val="18"/>
          <w:lang w:val="tr-TR"/>
        </w:rPr>
        <w:t xml:space="preserve"> </w:t>
      </w:r>
      <w:r>
        <w:rPr>
          <w:rFonts w:ascii="Verdana" w:eastAsia="Calibri" w:hAnsi="Verdana" w:cs="Times New Roman"/>
          <w:sz w:val="18"/>
          <w:szCs w:val="18"/>
          <w:lang w:val="tr-TR"/>
        </w:rPr>
        <w:tab/>
      </w:r>
      <w:r w:rsidR="00540C6B" w:rsidRPr="00540C6B">
        <w:rPr>
          <w:rFonts w:ascii="Verdana" w:eastAsia="Calibri" w:hAnsi="Verdana" w:cs="Times New Roman"/>
          <w:sz w:val="18"/>
          <w:szCs w:val="18"/>
          <w:lang w:val="tr-TR"/>
        </w:rPr>
        <w:t xml:space="preserve">Arabuluculuk: </w:t>
      </w:r>
      <w:r w:rsidR="00757A92" w:rsidRPr="00757A92">
        <w:rPr>
          <w:rFonts w:ascii="Verdana" w:eastAsia="Calibri" w:hAnsi="Verdana" w:cs="Times New Roman"/>
          <w:sz w:val="18"/>
          <w:szCs w:val="18"/>
          <w:lang w:val="tr-TR"/>
        </w:rPr>
        <w:t xml:space="preserve">Sistematik teknikler uygulayarak, görüşmek ve müzakerelerde bulunmak amacıyla tarafları bir araya getiren, onların birbirlerini anlamalarını ve bu suretle çözümlerini kendilerinin üretmesini sağlamak için aralarında iletişim sürecinin kurulmasını gerçekleştiren, tarafların çözüm üretemediklerinin </w:t>
      </w:r>
      <w:proofErr w:type="gramStart"/>
      <w:r w:rsidR="00757A92" w:rsidRPr="00757A92">
        <w:rPr>
          <w:rFonts w:ascii="Verdana" w:eastAsia="Calibri" w:hAnsi="Verdana" w:cs="Times New Roman"/>
          <w:sz w:val="18"/>
          <w:szCs w:val="18"/>
          <w:lang w:val="tr-TR"/>
        </w:rPr>
        <w:t>ortaya</w:t>
      </w:r>
      <w:r w:rsidR="003B195A">
        <w:rPr>
          <w:rFonts w:ascii="Verdana" w:eastAsia="Calibri" w:hAnsi="Verdana" w:cs="Times New Roman"/>
          <w:sz w:val="18"/>
          <w:szCs w:val="18"/>
          <w:lang w:val="tr-TR"/>
        </w:rPr>
        <w:t xml:space="preserve"> </w:t>
      </w:r>
      <w:r w:rsidR="00757A92" w:rsidRPr="00757A92">
        <w:rPr>
          <w:rFonts w:ascii="Verdana" w:eastAsia="Calibri" w:hAnsi="Verdana" w:cs="Times New Roman"/>
          <w:sz w:val="18"/>
          <w:szCs w:val="18"/>
          <w:lang w:val="tr-TR"/>
        </w:rPr>
        <w:t xml:space="preserve"> çıkması</w:t>
      </w:r>
      <w:proofErr w:type="gramEnd"/>
      <w:r w:rsidR="00757A92" w:rsidRPr="00757A92">
        <w:rPr>
          <w:rFonts w:ascii="Verdana" w:eastAsia="Calibri" w:hAnsi="Verdana" w:cs="Times New Roman"/>
          <w:sz w:val="18"/>
          <w:szCs w:val="18"/>
          <w:lang w:val="tr-TR"/>
        </w:rPr>
        <w:t xml:space="preserve"> hâlinde çözüm önerisi de getirebilen, uzmanlık eğitimi almış olan tarafsız ve bağımsız bir üçüncü kişinin katılımıyla ve kamu hizmeti olarak yürütülen ihtiyari bir uyuşmazlık çözüm yöntemini,</w:t>
      </w:r>
    </w:p>
    <w:p w:rsidR="008E13F3" w:rsidRPr="00AC75C4" w:rsidRDefault="00540C6B" w:rsidP="00AC75C4">
      <w:pPr>
        <w:pStyle w:val="ListeParagraf"/>
        <w:numPr>
          <w:ilvl w:val="0"/>
          <w:numId w:val="5"/>
        </w:numPr>
        <w:tabs>
          <w:tab w:val="left" w:pos="6804"/>
        </w:tabs>
        <w:ind w:right="284"/>
        <w:rPr>
          <w:rFonts w:ascii="Verdana" w:eastAsia="Calibri" w:hAnsi="Verdana" w:cs="Times New Roman"/>
          <w:b/>
          <w:sz w:val="18"/>
          <w:szCs w:val="18"/>
          <w:highlight w:val="lightGray"/>
          <w:u w:val="single"/>
          <w:lang w:val="tr-TR"/>
        </w:rPr>
      </w:pPr>
      <w:r w:rsidRPr="003F51D7">
        <w:rPr>
          <w:rFonts w:ascii="Verdana" w:eastAsia="Calibri" w:hAnsi="Verdana" w:cs="Times New Roman"/>
          <w:b/>
          <w:sz w:val="18"/>
          <w:szCs w:val="18"/>
          <w:highlight w:val="lightGray"/>
          <w:u w:val="single"/>
          <w:lang w:val="tr-TR"/>
        </w:rPr>
        <w:t>ARABULUCULUĞUN ESASLARI VE ARABULUCULUK SÜRECİ</w:t>
      </w:r>
      <w:r w:rsidR="003F51D7" w:rsidRPr="003F51D7">
        <w:rPr>
          <w:rFonts w:ascii="Verdana" w:eastAsia="Calibri" w:hAnsi="Verdana" w:cs="Times New Roman"/>
          <w:b/>
          <w:sz w:val="18"/>
          <w:szCs w:val="18"/>
          <w:highlight w:val="lightGray"/>
          <w:u w:val="single"/>
          <w:lang w:val="tr-TR"/>
        </w:rPr>
        <w:tab/>
      </w:r>
      <w:r w:rsidRPr="003F51D7">
        <w:rPr>
          <w:rFonts w:ascii="Verdana" w:eastAsia="Calibri" w:hAnsi="Verdana" w:cs="Times New Roman"/>
          <w:b/>
          <w:sz w:val="18"/>
          <w:szCs w:val="18"/>
          <w:highlight w:val="lightGray"/>
          <w:u w:val="single"/>
          <w:lang w:val="tr-TR"/>
        </w:rPr>
        <w:t xml:space="preserve">: </w:t>
      </w:r>
    </w:p>
    <w:p w:rsidR="0008721B" w:rsidRDefault="0008721B" w:rsidP="00A47159">
      <w:pPr>
        <w:pStyle w:val="GvdeMetni"/>
        <w:numPr>
          <w:ilvl w:val="1"/>
          <w:numId w:val="10"/>
        </w:numPr>
        <w:tabs>
          <w:tab w:val="left" w:pos="1134"/>
        </w:tabs>
        <w:ind w:right="117"/>
        <w:rPr>
          <w:rFonts w:ascii="Verdana" w:eastAsia="Calibri" w:hAnsi="Verdana"/>
          <w:sz w:val="18"/>
          <w:szCs w:val="18"/>
          <w:lang w:val="tr-TR"/>
        </w:rPr>
      </w:pPr>
      <w:r>
        <w:rPr>
          <w:rFonts w:ascii="Verdana" w:eastAsia="Calibri" w:hAnsi="Verdana"/>
          <w:sz w:val="18"/>
          <w:szCs w:val="18"/>
          <w:lang w:val="tr-TR"/>
        </w:rPr>
        <w:t>Arabuluculuk süreci,</w:t>
      </w:r>
      <w:r w:rsidRPr="0008721B">
        <w:rPr>
          <w:rFonts w:ascii="Verdana" w:eastAsia="Calibri" w:hAnsi="Verdana"/>
          <w:sz w:val="18"/>
          <w:szCs w:val="18"/>
          <w:lang w:val="tr-TR"/>
        </w:rPr>
        <w:t xml:space="preserve"> dava açılmadan önce arabulucuya başvuru hâlinde, tarafların ilk toplantıya davet edilmeleri ve taraflarla arabulucu arasında sürecin devam ettirilmesi konusunda anlaşmaya varılıp bu durumun bir tutanakla belgelendirildiği tarihten itibaren işlemeye başlar. Dava açılmasından sonra arabulucuya başvuru hâlinde ise bu süreç, mahkemenin tarafları arabuluculuğa davetinin taraflarca kabul edilmesi veya tarafların arabulucuya başvurma konusunda anlaşmaya vardıklarını duruşma dışında mahkemeye yazılı olarak beyan ettikleri ya da duruşmada bu beyanlarının tutanağa geçirildiği tarihten itibaren işlemeye başlar.</w:t>
      </w:r>
    </w:p>
    <w:p w:rsidR="006A2BE7" w:rsidRDefault="0008721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sz w:val="18"/>
          <w:szCs w:val="18"/>
          <w:lang w:val="tr-TR"/>
        </w:rPr>
        <w:t>Arabuluculuk sürecinin başlamasından sona ermesine kadar geçirilen süre, zamanaşımı ve hak düşürücü sürelerin hesaplanmasında dikkate alınmaz.</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b/>
          <w:sz w:val="18"/>
          <w:szCs w:val="18"/>
          <w:lang w:val="tr-TR"/>
        </w:rPr>
        <w:t xml:space="preserve">Taraflar, arabulucuya başvurmak, süreci devam ettirmek, sonuçlandırmak veya bu süreçten istedikleri anda vazgeçmek konusunda tamamen serbesttirler. </w:t>
      </w:r>
      <w:r w:rsidRPr="00A47159">
        <w:rPr>
          <w:rFonts w:ascii="Verdana" w:eastAsia="Calibri" w:hAnsi="Verdana"/>
          <w:sz w:val="18"/>
          <w:szCs w:val="18"/>
          <w:lang w:val="tr-TR"/>
        </w:rPr>
        <w:t xml:space="preserve">Taraflar, hiçbir şekilde zorla bu sürecin içine </w:t>
      </w:r>
      <w:proofErr w:type="gramStart"/>
      <w:r w:rsidRPr="00A47159">
        <w:rPr>
          <w:rFonts w:ascii="Verdana" w:eastAsia="Calibri" w:hAnsi="Verdana"/>
          <w:sz w:val="18"/>
          <w:szCs w:val="18"/>
          <w:lang w:val="tr-TR"/>
        </w:rPr>
        <w:t>dahil</w:t>
      </w:r>
      <w:proofErr w:type="gramEnd"/>
      <w:r w:rsidRPr="00A47159">
        <w:rPr>
          <w:rFonts w:ascii="Verdana" w:eastAsia="Calibri" w:hAnsi="Verdana"/>
          <w:sz w:val="18"/>
          <w:szCs w:val="18"/>
          <w:lang w:val="tr-TR"/>
        </w:rPr>
        <w:t xml:space="preserve"> edilmeyecekleri gibi sürecin her aşamasında arabuluculuk müzakere sürecini sonlandırabilirler. </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b/>
          <w:sz w:val="18"/>
          <w:szCs w:val="18"/>
          <w:lang w:val="tr-TR"/>
        </w:rPr>
        <w:t xml:space="preserve">Taraflar, gerek arabulucuya başvururken gerekse süreç boyunca eşit haklara sahiptirler. </w:t>
      </w:r>
      <w:r w:rsidRPr="00A47159">
        <w:rPr>
          <w:rFonts w:ascii="Verdana" w:eastAsia="Calibri" w:hAnsi="Verdana"/>
          <w:sz w:val="18"/>
          <w:szCs w:val="18"/>
          <w:lang w:val="tr-TR"/>
        </w:rPr>
        <w:t xml:space="preserve">Taraflardan biri arabuluculuk sürecinin dışında bırakılmayacağı gibi söz hakkı da diğerine göre kısıtlanmaz. </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b/>
          <w:sz w:val="18"/>
          <w:szCs w:val="18"/>
          <w:lang w:val="tr-TR"/>
        </w:rPr>
        <w:t xml:space="preserve">Taraflarca aksi kararlaştırılmadıkça arabulucu, arabuluculuk faaliyeti çerçevesinde kendisine sunulan veya diğer bir şekilde elde ettiği bilgi ve belgeler ile diğer kayıtları gizli tutulmakla yükümlüdür. </w:t>
      </w:r>
      <w:r w:rsidRPr="00A47159">
        <w:rPr>
          <w:rFonts w:ascii="Verdana" w:eastAsia="Calibri" w:hAnsi="Verdana"/>
          <w:sz w:val="18"/>
          <w:szCs w:val="18"/>
          <w:lang w:val="tr-TR"/>
        </w:rPr>
        <w:t xml:space="preserve">Taraflarda, aksi kararlaştırılmadıkça gizliliğe aynen uymak zorundadırlar. Gizlilik arabulucu için geçerli olduğu gibi aynen taraflar içinde geçerlidir.  Arabuluculuk sürecindeki gizlilik kuralının ihlal halinde taraflar ve arabulucu için cezai müeyyideler bulunmaktadır. </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sz w:val="18"/>
          <w:szCs w:val="18"/>
          <w:lang w:val="tr-TR"/>
        </w:rPr>
        <w:lastRenderedPageBreak/>
        <w:t xml:space="preserve">Taraflar, arabulucu veya arabuluculuğa katılanlar da </w:t>
      </w:r>
      <w:proofErr w:type="gramStart"/>
      <w:r w:rsidRPr="00A47159">
        <w:rPr>
          <w:rFonts w:ascii="Verdana" w:eastAsia="Calibri" w:hAnsi="Verdana"/>
          <w:sz w:val="18"/>
          <w:szCs w:val="18"/>
          <w:lang w:val="tr-TR"/>
        </w:rPr>
        <w:t>dahil</w:t>
      </w:r>
      <w:proofErr w:type="gramEnd"/>
      <w:r w:rsidRPr="00A47159">
        <w:rPr>
          <w:rFonts w:ascii="Verdana" w:eastAsia="Calibri" w:hAnsi="Verdana"/>
          <w:sz w:val="18"/>
          <w:szCs w:val="18"/>
          <w:lang w:val="tr-TR"/>
        </w:rPr>
        <w:t xml:space="preserve"> olmak üzere üçüncü bir kişi, uyuşmazlıkla ilgili olarak hukuk davası açıldığında yahut tahkim yoluna başvurulduğunda, Taraflarca yapılan arabuluculuk daveti veya bir tarafın arabuluculuk faaliyetine katılma isteği, uyuşmazlığın arabuluculuk yolu ile sona erdirilmesi için taraflarca ileri sürülen görüşler ve teklifler, arabuluculuk faaliyeti esnasında taraflarca ileri </w:t>
      </w:r>
      <w:r w:rsidR="0074747C">
        <w:rPr>
          <w:rFonts w:ascii="Verdana" w:eastAsia="Calibri" w:hAnsi="Verdana"/>
          <w:sz w:val="18"/>
          <w:szCs w:val="18"/>
          <w:lang w:val="tr-TR"/>
        </w:rPr>
        <w:t xml:space="preserve">sürülen öneriler veya herhangi </w:t>
      </w:r>
      <w:r w:rsidRPr="00A47159">
        <w:rPr>
          <w:rFonts w:ascii="Verdana" w:eastAsia="Calibri" w:hAnsi="Verdana"/>
          <w:sz w:val="18"/>
          <w:szCs w:val="18"/>
          <w:lang w:val="tr-TR"/>
        </w:rPr>
        <w:t>bir vakıa veya iddianın kabulü, sadece arab</w:t>
      </w:r>
      <w:r w:rsidR="0074747C">
        <w:rPr>
          <w:rFonts w:ascii="Verdana" w:eastAsia="Calibri" w:hAnsi="Verdana"/>
          <w:sz w:val="18"/>
          <w:szCs w:val="18"/>
          <w:lang w:val="tr-TR"/>
        </w:rPr>
        <w:t xml:space="preserve">uluculuk faaliyeti dolayısıyla </w:t>
      </w:r>
      <w:r w:rsidR="006361C5">
        <w:rPr>
          <w:rFonts w:ascii="Verdana" w:eastAsia="Calibri" w:hAnsi="Verdana"/>
          <w:sz w:val="18"/>
          <w:szCs w:val="18"/>
          <w:lang w:val="tr-TR"/>
        </w:rPr>
        <w:t xml:space="preserve">hazırlanan belgeler </w:t>
      </w:r>
      <w:r w:rsidRPr="00A47159">
        <w:rPr>
          <w:rFonts w:ascii="Verdana" w:eastAsia="Calibri" w:hAnsi="Verdana"/>
          <w:sz w:val="18"/>
          <w:szCs w:val="18"/>
          <w:lang w:val="tr-TR"/>
        </w:rPr>
        <w:t xml:space="preserve">delil olarak ileri süremez ve bunlar hakkında tanıklık yapamaz. İş bu bilgilerin açıklanması mahkeme, hakem veya herhangi bir idari makam tarafından istenemez. Bu beyan veya belgeler, delil olarak sunulmuş olsa dahi hükme esas alınamaz. Ancak, söz konusu bilgiler bir kanun hükmü tarafından emredildiği veya arabuluculuk süreci sonunda varılan anlaşmanın uygulanması ve icrası için gerekli olduğu ölçüde açıklanabilir.  Ancak hukuk davası ve tahkimde ileri sürülebilen deliller, sadece arabuluculukta sunulmaları sebebiyle kabul edilemeyecek deliller haline gelmez. </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sz w:val="18"/>
          <w:szCs w:val="18"/>
          <w:lang w:val="tr-TR"/>
        </w:rPr>
        <w:t xml:space="preserve">Arabulucu, arabuluculuk faaliyetini yürütürken tarafsız davranmak zorunda olup, tarafsızlığı hakkında şüpheye yol açacak tutum ve davranışta bulunamaz. </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sz w:val="18"/>
          <w:szCs w:val="18"/>
          <w:lang w:val="tr-TR"/>
        </w:rPr>
        <w:t xml:space="preserve">Arabulucu görevini özenle, tarafsız bir biçimde ve bizzat kendisi yerine getirmek zorunda olup, bu görevini kısmen dahi olsa bir başkasına devredemez. </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sz w:val="18"/>
          <w:szCs w:val="18"/>
          <w:lang w:val="tr-TR"/>
        </w:rPr>
        <w:t xml:space="preserve">Arabulucu olarak görevlendirilen kimse, tarafsızlığından şüphe edilmesini gerektirecek önemli hal ve şartların varlığı veya bu hal ve şartların sonradan ortaya çıkarılması halinde tarafları bilgilendirmekle yükümlüdür. Bu açıklamaya rağmen taraflar, arabulucudan görevi üstlenmesini birlikte talep ederlerse, arabulucu bu görevi üstlenebilir yahut üstlenmiş olduğu görevi sürdürebilir.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Arabulucu, taraflar arasında eşitliği gözetmekle yükümlüdür. Arabulucu, bu sıfatla görev yaptığı uyuşmazlık ile ilgili olarak açılan davada, daha sonra, hâkimlik, hakemlik ve bilirkişilik yapamayacağı gibi avukat olarak da görev üstlenemez.</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Tarafların arabuluculuk sürecinin sonunda tarafların anlaşamaması halinde de, iş bu durum arabulucu tarafından tutanak altına alınacaktır.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Arabulucu, tarafların her biri ile ayrı ayrı veya birlikte görüşebilir ve iletişim kurabilir. Taraflar bu görüşmelere vekilleri aracılığı ile de katılabilirler.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Arabulucu, taraflarla görüşülerek iletişim kurulduğunda, arabuluculuk faaliyetine başlandığına, bu faaliyete ilişkin işlem ve eylemlerin doğru bir biçimde uygulandığına ve nihayetinde arabuluculuk faaliyetinin sona erdirildiğine yönelik fiili durum ve aşamaları belgelendirir; belge arabulucu, taraflar veya vekillerince imzalanır. Taraflar veya vekillerince imzalanmaz ise sebebi belirtilmek sureti ile sadece arabulucu tarafından imzalanır.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Taraflar dava açılmadan önce veya davanın görülmesi sırasında arabulucuya başvurma konusunda anlaşabilirler. Mahkeme de tarafları arabulucuya başvurmak konusunda; arabuluculuğun esasları, süreci ve hukuki sonuçları hakkında aydınlatıp, arabuluculuk yoluyla uyuşmazlığın çözülmesinin sosyal, ekonomik ve psikolojik açıdan faydalarının olabileceğini hatırlatarak onları teşvik edebilir. Aksi kararlaştırılmadıkça, taraflardan birinin arabulucuya başvuru teklifine otuz gün içinde olumlu cevap verilmez ise bu teklif reddedilmiş sayılır. </w:t>
      </w:r>
    </w:p>
    <w:p w:rsidR="00540C6B" w:rsidRPr="00147F42" w:rsidRDefault="00540C6B" w:rsidP="00147F42">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Başkaca bir usul kararlaştırılmadıkça arabulucu veya arabulucular taraflarca seçilir. </w:t>
      </w:r>
      <w:r w:rsidRPr="00147F42">
        <w:rPr>
          <w:rFonts w:ascii="Verdana" w:eastAsia="Calibri" w:hAnsi="Verdana"/>
          <w:sz w:val="18"/>
          <w:szCs w:val="18"/>
          <w:lang w:val="tr-TR"/>
        </w:rPr>
        <w:t xml:space="preserve">Arabulucu, seçildikten sonra tarafları en kısa sürede ilk toplantıya davet eder.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Taraflar, emredici hukuk kurallarına aykırı olmamak kaydı ile arabuluculuk usulünü serbestçe kararlaştırabilirler.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Taraflarca kararlaştırılmamışsa arabulucu; uyuşmazlığın niteliğini, tarafların isteklerini ve uyuşmazlığın hızlı bir şekilde çözümlenmesi için gereken usul ve esasları göz önüne alarak arabuluculuk faaliyetlerini yürütür.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Keşif, bilirkişiye başvurma ve tanık dinleme gibi niteliği gereği yargısal bir yetkinin kullanımı olarak sadece hâkim tarafından yapılabilecek işlemler arabulucu tarafından yapılmaz. </w:t>
      </w:r>
    </w:p>
    <w:p w:rsidR="00540C6B" w:rsidRDefault="00540C6B" w:rsidP="00E20849">
      <w:pPr>
        <w:pStyle w:val="GvdeMetni"/>
        <w:numPr>
          <w:ilvl w:val="1"/>
          <w:numId w:val="10"/>
        </w:numPr>
        <w:tabs>
          <w:tab w:val="left" w:pos="1134"/>
        </w:tabs>
        <w:ind w:right="117"/>
        <w:rPr>
          <w:rFonts w:ascii="Verdana" w:eastAsia="Calibri" w:hAnsi="Verdana"/>
          <w:sz w:val="18"/>
          <w:szCs w:val="18"/>
          <w:lang w:val="tr-TR"/>
        </w:rPr>
      </w:pPr>
      <w:r w:rsidRPr="00696182">
        <w:rPr>
          <w:rFonts w:ascii="Verdana" w:eastAsia="Calibri" w:hAnsi="Verdana"/>
          <w:sz w:val="18"/>
          <w:szCs w:val="18"/>
          <w:lang w:val="tr-TR"/>
        </w:rPr>
        <w:t>Arabulucu,</w:t>
      </w:r>
      <w:r w:rsidRPr="00EB7F37">
        <w:rPr>
          <w:rFonts w:ascii="Verdana" w:eastAsia="Calibri" w:hAnsi="Verdana"/>
          <w:sz w:val="18"/>
          <w:szCs w:val="18"/>
          <w:lang w:val="tr-TR"/>
        </w:rPr>
        <w:t xml:space="preserve"> sürecin yürütülmesi sırasında, taraflara hukuki tavsiyelerde bulunamaz; bir çözüm önerisi </w:t>
      </w:r>
      <w:proofErr w:type="gramStart"/>
      <w:r w:rsidRPr="00EB7F37">
        <w:rPr>
          <w:rFonts w:ascii="Verdana" w:eastAsia="Calibri" w:hAnsi="Verdana"/>
          <w:sz w:val="18"/>
          <w:szCs w:val="18"/>
          <w:lang w:val="tr-TR"/>
        </w:rPr>
        <w:t>ya</w:t>
      </w:r>
      <w:r w:rsidR="00704BDA">
        <w:rPr>
          <w:rFonts w:ascii="Verdana" w:eastAsia="Calibri" w:hAnsi="Verdana"/>
          <w:sz w:val="18"/>
          <w:szCs w:val="18"/>
          <w:lang w:val="tr-TR"/>
        </w:rPr>
        <w:t>da</w:t>
      </w:r>
      <w:proofErr w:type="gramEnd"/>
      <w:r w:rsidRPr="00EB7F37">
        <w:rPr>
          <w:rFonts w:ascii="Verdana" w:eastAsia="Calibri" w:hAnsi="Verdana"/>
          <w:sz w:val="18"/>
          <w:szCs w:val="18"/>
          <w:lang w:val="tr-TR"/>
        </w:rPr>
        <w:t xml:space="preserve"> öneriler kataloğu geliştirip, bunu onlara empoze edemeyeceği gibi, müzakereler sırasında geliştirilen bir çözüm önerisi üzerinde anlaşmaya varmalar</w:t>
      </w:r>
      <w:r w:rsidR="00C66BF9">
        <w:rPr>
          <w:rFonts w:ascii="Verdana" w:eastAsia="Calibri" w:hAnsi="Verdana"/>
          <w:sz w:val="18"/>
          <w:szCs w:val="18"/>
          <w:lang w:val="tr-TR"/>
        </w:rPr>
        <w:t>ı</w:t>
      </w:r>
      <w:r w:rsidRPr="00EB7F37">
        <w:rPr>
          <w:rFonts w:ascii="Verdana" w:eastAsia="Calibri" w:hAnsi="Verdana"/>
          <w:sz w:val="18"/>
          <w:szCs w:val="18"/>
          <w:lang w:val="tr-TR"/>
        </w:rPr>
        <w:t xml:space="preserve"> için de onları zorlayamaz. Ancak, taraflardan birisinin, uyuşmazlığın çözümü bağlamında, sunulmuş olduğu bir önerinin, </w:t>
      </w:r>
      <w:r w:rsidRPr="00EB7F37">
        <w:rPr>
          <w:rFonts w:ascii="Verdana" w:eastAsia="Calibri" w:hAnsi="Verdana"/>
          <w:sz w:val="18"/>
          <w:szCs w:val="18"/>
          <w:lang w:val="tr-TR"/>
        </w:rPr>
        <w:lastRenderedPageBreak/>
        <w:t>arabulucu tarafından, diğer tarafa iletilmesi ve onun bu konudaki beyanının alınması</w:t>
      </w:r>
      <w:r w:rsidR="00E20849">
        <w:rPr>
          <w:rFonts w:ascii="Verdana" w:eastAsia="Calibri" w:hAnsi="Verdana"/>
          <w:sz w:val="18"/>
          <w:szCs w:val="18"/>
          <w:lang w:val="tr-TR"/>
        </w:rPr>
        <w:t xml:space="preserve"> </w:t>
      </w:r>
      <w:r w:rsidRPr="00EB7F37">
        <w:rPr>
          <w:rFonts w:ascii="Verdana" w:eastAsia="Calibri" w:hAnsi="Verdana"/>
          <w:sz w:val="18"/>
          <w:szCs w:val="18"/>
          <w:lang w:val="tr-TR"/>
        </w:rPr>
        <w:t>bu kapsamda mütalaa edilemez.</w:t>
      </w:r>
      <w:r w:rsidR="00E20849" w:rsidRPr="00E20849">
        <w:rPr>
          <w:rFonts w:ascii="Verdana" w:eastAsia="Calibri" w:hAnsi="Verdana"/>
          <w:sz w:val="18"/>
          <w:szCs w:val="18"/>
          <w:lang w:val="tr-TR"/>
        </w:rPr>
        <w:t xml:space="preserve"> </w:t>
      </w:r>
      <w:r w:rsidR="00E20849">
        <w:rPr>
          <w:rFonts w:ascii="Verdana" w:eastAsia="Calibri" w:hAnsi="Verdana"/>
          <w:sz w:val="18"/>
          <w:szCs w:val="18"/>
          <w:lang w:val="tr-TR"/>
        </w:rPr>
        <w:t xml:space="preserve">Ayrıca </w:t>
      </w:r>
      <w:r w:rsidR="00E20849" w:rsidRPr="00E20849">
        <w:rPr>
          <w:rFonts w:ascii="Verdana" w:eastAsia="Calibri" w:hAnsi="Verdana"/>
          <w:sz w:val="18"/>
          <w:szCs w:val="18"/>
          <w:lang w:val="tr-TR"/>
        </w:rPr>
        <w:t xml:space="preserve">tarafların çözüm üretemediklerinin ortaya çıkması hâlinde çözüm </w:t>
      </w:r>
      <w:r w:rsidR="00E20849">
        <w:rPr>
          <w:rFonts w:ascii="Verdana" w:eastAsia="Calibri" w:hAnsi="Verdana"/>
          <w:sz w:val="18"/>
          <w:szCs w:val="18"/>
          <w:lang w:val="tr-TR"/>
        </w:rPr>
        <w:t>önerisi getirebilir.</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Dava açıldıktan sonra tarafların birlikte arabulucuya başvuracaklarını beyan etmeleri halinde yargılama, mahkemece üç ayı geçmemek üzere üç aya kadar uzatılabilir. </w:t>
      </w:r>
    </w:p>
    <w:p w:rsidR="00540C6B" w:rsidRDefault="00540C6B" w:rsidP="00AC75C4">
      <w:pPr>
        <w:pStyle w:val="GvdeMetni"/>
        <w:numPr>
          <w:ilvl w:val="1"/>
          <w:numId w:val="10"/>
        </w:numPr>
        <w:tabs>
          <w:tab w:val="left" w:pos="1134"/>
        </w:tabs>
        <w:ind w:right="117"/>
        <w:rPr>
          <w:rFonts w:ascii="Verdana" w:eastAsia="Calibri" w:hAnsi="Verdana"/>
          <w:sz w:val="18"/>
          <w:szCs w:val="18"/>
          <w:lang w:val="tr-TR"/>
        </w:rPr>
      </w:pPr>
      <w:r w:rsidRPr="00AC75C4">
        <w:rPr>
          <w:rFonts w:ascii="Verdana" w:eastAsia="Calibri" w:hAnsi="Verdana"/>
          <w:sz w:val="18"/>
          <w:szCs w:val="18"/>
          <w:lang w:val="tr-TR"/>
        </w:rPr>
        <w:t>Taraflar arabuluculuk müzakerelerine bizzat veya arabuluculuk konusunda özel yetki verilmiş vekilleri aracılığı ile katılabilirler.</w:t>
      </w:r>
    </w:p>
    <w:p w:rsidR="00D523F4" w:rsidRDefault="00540C6B" w:rsidP="00817CF9">
      <w:pPr>
        <w:pStyle w:val="GvdeMetni"/>
        <w:numPr>
          <w:ilvl w:val="1"/>
          <w:numId w:val="10"/>
        </w:numPr>
        <w:tabs>
          <w:tab w:val="left" w:pos="1134"/>
        </w:tabs>
        <w:ind w:right="117"/>
        <w:rPr>
          <w:rFonts w:ascii="Verdana" w:eastAsia="Calibri" w:hAnsi="Verdana"/>
          <w:sz w:val="18"/>
          <w:szCs w:val="18"/>
          <w:lang w:val="tr-TR"/>
        </w:rPr>
      </w:pPr>
      <w:r w:rsidRPr="00AC75C4">
        <w:rPr>
          <w:rFonts w:ascii="Verdana" w:eastAsia="Calibri" w:hAnsi="Verdana"/>
          <w:sz w:val="18"/>
          <w:szCs w:val="18"/>
          <w:lang w:val="tr-TR"/>
        </w:rPr>
        <w:t xml:space="preserve">Arabulucu, arabuluculuk sürecinde hukuki ve </w:t>
      </w:r>
      <w:proofErr w:type="gramStart"/>
      <w:r w:rsidRPr="00AC75C4">
        <w:rPr>
          <w:rFonts w:ascii="Verdana" w:eastAsia="Calibri" w:hAnsi="Verdana"/>
          <w:sz w:val="18"/>
          <w:szCs w:val="18"/>
          <w:lang w:val="tr-TR"/>
        </w:rPr>
        <w:t>fiili  sebeplerle</w:t>
      </w:r>
      <w:proofErr w:type="gramEnd"/>
      <w:r w:rsidRPr="00AC75C4">
        <w:rPr>
          <w:rFonts w:ascii="Verdana" w:eastAsia="Calibri" w:hAnsi="Verdana"/>
          <w:sz w:val="18"/>
          <w:szCs w:val="18"/>
          <w:lang w:val="tr-TR"/>
        </w:rPr>
        <w:t xml:space="preserve"> görevini yapamayacak hale gelirse, tarafların üzerinde anlaştığı yeni bir arabulucu ile süreç kaldığı yerden devam ettirilebilir. Önceki yapılan işlemler geçerliliğini korur. </w:t>
      </w:r>
    </w:p>
    <w:p w:rsidR="00817CF9" w:rsidRPr="00817CF9" w:rsidRDefault="00817CF9" w:rsidP="00817CF9">
      <w:pPr>
        <w:pStyle w:val="GvdeMetni"/>
        <w:tabs>
          <w:tab w:val="left" w:pos="1134"/>
        </w:tabs>
        <w:ind w:left="0" w:right="117"/>
        <w:rPr>
          <w:rFonts w:ascii="Verdana" w:eastAsia="Calibri" w:hAnsi="Verdana"/>
          <w:sz w:val="18"/>
          <w:szCs w:val="18"/>
          <w:lang w:val="tr-TR"/>
        </w:rPr>
      </w:pPr>
    </w:p>
    <w:p w:rsidR="00733812" w:rsidRPr="00B3042D" w:rsidRDefault="009008B8" w:rsidP="00B3042D">
      <w:pPr>
        <w:pStyle w:val="ListeParagraf"/>
        <w:numPr>
          <w:ilvl w:val="0"/>
          <w:numId w:val="5"/>
        </w:numPr>
        <w:tabs>
          <w:tab w:val="left" w:pos="6804"/>
        </w:tabs>
        <w:ind w:right="284"/>
        <w:jc w:val="both"/>
        <w:rPr>
          <w:rFonts w:ascii="Verdana" w:eastAsia="Calibri" w:hAnsi="Verdana" w:cs="Times New Roman"/>
          <w:b/>
          <w:sz w:val="18"/>
          <w:szCs w:val="18"/>
          <w:highlight w:val="lightGray"/>
          <w:lang w:val="tr-TR"/>
        </w:rPr>
      </w:pPr>
      <w:r>
        <w:rPr>
          <w:rFonts w:ascii="Verdana" w:eastAsia="Calibri" w:hAnsi="Verdana" w:cs="Times New Roman"/>
          <w:b/>
          <w:sz w:val="18"/>
          <w:szCs w:val="18"/>
          <w:highlight w:val="lightGray"/>
          <w:lang w:val="tr-TR"/>
        </w:rPr>
        <w:t>TİCARİ</w:t>
      </w:r>
      <w:r w:rsidR="00090E88">
        <w:rPr>
          <w:rFonts w:ascii="Verdana" w:eastAsia="Calibri" w:hAnsi="Verdana" w:cs="Times New Roman"/>
          <w:b/>
          <w:sz w:val="18"/>
          <w:szCs w:val="18"/>
          <w:highlight w:val="lightGray"/>
          <w:lang w:val="tr-TR"/>
        </w:rPr>
        <w:t xml:space="preserve"> UYUŞMAZLIKLARINDA </w:t>
      </w:r>
      <w:r w:rsidR="00345F17" w:rsidRPr="00B3042D">
        <w:rPr>
          <w:rFonts w:ascii="Verdana" w:eastAsia="Calibri" w:hAnsi="Verdana" w:cs="Times New Roman"/>
          <w:b/>
          <w:sz w:val="18"/>
          <w:szCs w:val="18"/>
          <w:highlight w:val="lightGray"/>
          <w:lang w:val="tr-TR"/>
        </w:rPr>
        <w:t>DAVA ŞARTI ARABULUCULUK SÜRECİ</w:t>
      </w:r>
      <w:r w:rsidR="00931916" w:rsidRPr="00B3042D">
        <w:rPr>
          <w:rFonts w:ascii="Verdana" w:eastAsia="Calibri" w:hAnsi="Verdana" w:cs="Times New Roman"/>
          <w:sz w:val="18"/>
          <w:szCs w:val="18"/>
          <w:highlight w:val="lightGray"/>
          <w:lang w:val="tr-TR"/>
        </w:rPr>
        <w:tab/>
      </w:r>
      <w:r w:rsidR="00345F17" w:rsidRPr="00B3042D">
        <w:rPr>
          <w:rFonts w:ascii="Verdana" w:eastAsia="Calibri" w:hAnsi="Verdana" w:cs="Times New Roman"/>
          <w:sz w:val="18"/>
          <w:szCs w:val="18"/>
          <w:highlight w:val="lightGray"/>
          <w:lang w:val="tr-TR"/>
        </w:rPr>
        <w:t>:</w:t>
      </w:r>
      <w:r w:rsidR="0055675F" w:rsidRPr="00B3042D">
        <w:rPr>
          <w:rFonts w:ascii="Verdana" w:eastAsia="Calibri" w:hAnsi="Verdana" w:cs="Times New Roman"/>
          <w:sz w:val="18"/>
          <w:szCs w:val="18"/>
          <w:highlight w:val="lightGray"/>
          <w:lang w:val="tr-TR"/>
        </w:rPr>
        <w:tab/>
      </w:r>
    </w:p>
    <w:p w:rsidR="001D6629" w:rsidRPr="001D6629" w:rsidRDefault="001D6629" w:rsidP="001D6629">
      <w:pPr>
        <w:pStyle w:val="ListeParagraf"/>
        <w:widowControl w:val="0"/>
        <w:numPr>
          <w:ilvl w:val="0"/>
          <w:numId w:val="11"/>
        </w:numPr>
        <w:tabs>
          <w:tab w:val="left" w:pos="1134"/>
        </w:tabs>
        <w:autoSpaceDE w:val="0"/>
        <w:autoSpaceDN w:val="0"/>
        <w:spacing w:before="120" w:after="0" w:line="240" w:lineRule="auto"/>
        <w:ind w:right="117"/>
        <w:contextualSpacing w:val="0"/>
        <w:jc w:val="both"/>
        <w:rPr>
          <w:rFonts w:ascii="Verdana" w:eastAsia="Calibri" w:hAnsi="Verdana" w:cs="Times New Roman"/>
          <w:vanish/>
          <w:sz w:val="18"/>
          <w:szCs w:val="18"/>
          <w:lang w:val="tr-TR" w:bidi="en-US"/>
        </w:rPr>
      </w:pPr>
    </w:p>
    <w:p w:rsidR="001D6629" w:rsidRPr="001D6629" w:rsidRDefault="001D6629" w:rsidP="001D6629">
      <w:pPr>
        <w:pStyle w:val="ListeParagraf"/>
        <w:widowControl w:val="0"/>
        <w:numPr>
          <w:ilvl w:val="0"/>
          <w:numId w:val="11"/>
        </w:numPr>
        <w:tabs>
          <w:tab w:val="left" w:pos="1134"/>
        </w:tabs>
        <w:autoSpaceDE w:val="0"/>
        <w:autoSpaceDN w:val="0"/>
        <w:spacing w:before="120" w:after="0" w:line="240" w:lineRule="auto"/>
        <w:ind w:right="117"/>
        <w:contextualSpacing w:val="0"/>
        <w:jc w:val="both"/>
        <w:rPr>
          <w:rFonts w:ascii="Verdana" w:eastAsia="Calibri" w:hAnsi="Verdana" w:cs="Times New Roman"/>
          <w:vanish/>
          <w:sz w:val="18"/>
          <w:szCs w:val="18"/>
          <w:lang w:val="tr-TR" w:bidi="en-US"/>
        </w:rPr>
      </w:pPr>
    </w:p>
    <w:p w:rsidR="00B520C6" w:rsidRDefault="00B520C6" w:rsidP="00B520C6">
      <w:pPr>
        <w:pStyle w:val="GvdeMetni"/>
        <w:tabs>
          <w:tab w:val="left" w:pos="1134"/>
        </w:tabs>
        <w:ind w:left="720" w:right="117"/>
        <w:rPr>
          <w:rFonts w:ascii="Verdana" w:eastAsia="Calibri" w:hAnsi="Verdana"/>
          <w:sz w:val="18"/>
          <w:szCs w:val="18"/>
          <w:lang w:val="tr-TR"/>
        </w:rPr>
      </w:pPr>
    </w:p>
    <w:p w:rsidR="00455A1B" w:rsidRDefault="00455A1B" w:rsidP="00455A1B">
      <w:pPr>
        <w:pStyle w:val="GvdeMetni"/>
        <w:numPr>
          <w:ilvl w:val="1"/>
          <w:numId w:val="11"/>
        </w:numPr>
        <w:tabs>
          <w:tab w:val="left" w:pos="1134"/>
        </w:tabs>
        <w:ind w:right="117"/>
        <w:rPr>
          <w:rFonts w:ascii="Verdana" w:eastAsia="Calibri" w:hAnsi="Verdana"/>
          <w:sz w:val="18"/>
          <w:szCs w:val="18"/>
          <w:lang w:val="tr-TR"/>
        </w:rPr>
      </w:pPr>
      <w:r w:rsidRPr="00455A1B">
        <w:rPr>
          <w:rFonts w:ascii="Verdana" w:eastAsia="Calibri" w:hAnsi="Verdana"/>
          <w:sz w:val="18"/>
          <w:szCs w:val="18"/>
          <w:lang w:val="tr-TR"/>
        </w:rPr>
        <w:t xml:space="preserve">7155 sayılı Kanun uyarınca,  ticari davalarda, arabulucuya başvurulmuş olması dava şartıdır </w:t>
      </w:r>
      <w:proofErr w:type="gramStart"/>
      <w:r w:rsidRPr="00455A1B">
        <w:rPr>
          <w:rFonts w:ascii="Verdana" w:eastAsia="Calibri" w:hAnsi="Verdana"/>
          <w:sz w:val="18"/>
          <w:szCs w:val="18"/>
          <w:lang w:val="tr-TR"/>
        </w:rPr>
        <w:t>(</w:t>
      </w:r>
      <w:proofErr w:type="gramEnd"/>
      <w:r w:rsidRPr="00455A1B">
        <w:rPr>
          <w:rFonts w:ascii="Verdana" w:eastAsia="Calibri" w:hAnsi="Verdana"/>
          <w:sz w:val="18"/>
          <w:szCs w:val="18"/>
          <w:lang w:val="tr-TR"/>
        </w:rPr>
        <w:t>7155 sayılı kanun madde 20 ve 6102 sayılı TTK. Madde 5/A</w:t>
      </w:r>
      <w:proofErr w:type="gramStart"/>
      <w:r w:rsidRPr="00455A1B">
        <w:rPr>
          <w:rFonts w:ascii="Verdana" w:eastAsia="Calibri" w:hAnsi="Verdana"/>
          <w:sz w:val="18"/>
          <w:szCs w:val="18"/>
          <w:lang w:val="tr-TR"/>
        </w:rPr>
        <w:t>)</w:t>
      </w:r>
      <w:proofErr w:type="gramEnd"/>
      <w:r w:rsidRPr="00455A1B">
        <w:rPr>
          <w:rFonts w:ascii="Verdana" w:eastAsia="Calibri" w:hAnsi="Verdana"/>
          <w:sz w:val="18"/>
          <w:szCs w:val="18"/>
          <w:lang w:val="tr-TR"/>
        </w:rPr>
        <w:t>.</w:t>
      </w:r>
    </w:p>
    <w:p w:rsidR="00455A1B" w:rsidRPr="00455A1B" w:rsidRDefault="00455A1B" w:rsidP="00455A1B">
      <w:pPr>
        <w:pStyle w:val="GvdeMetni"/>
        <w:numPr>
          <w:ilvl w:val="1"/>
          <w:numId w:val="11"/>
        </w:numPr>
        <w:tabs>
          <w:tab w:val="left" w:pos="1134"/>
        </w:tabs>
        <w:ind w:right="117"/>
        <w:rPr>
          <w:rFonts w:ascii="Verdana" w:eastAsia="Calibri" w:hAnsi="Verdana"/>
          <w:sz w:val="18"/>
          <w:szCs w:val="18"/>
          <w:lang w:val="tr-TR"/>
        </w:rPr>
      </w:pPr>
      <w:r w:rsidRPr="00455A1B">
        <w:rPr>
          <w:rFonts w:ascii="Verdana" w:eastAsia="Calibri" w:hAnsi="Verdana"/>
          <w:sz w:val="18"/>
          <w:szCs w:val="18"/>
          <w:lang w:val="tr-TR"/>
        </w:rPr>
        <w:t>Arabuluculuk bürosuna başvurulmasından son tutanağın düzenlendiği tarihe kadar geçen sürede zamanaşımı durur ve hak düşürücü süre işlemez (6325 sayılı kanun 18/A -15 )</w:t>
      </w:r>
      <w:r w:rsidRPr="00455A1B">
        <w:rPr>
          <w:rFonts w:ascii="Verdana" w:eastAsia="Calibri" w:hAnsi="Verdana"/>
          <w:sz w:val="18"/>
          <w:szCs w:val="18"/>
          <w:lang w:val="tr-TR"/>
        </w:rPr>
        <w:tab/>
      </w:r>
    </w:p>
    <w:p w:rsidR="000E61D7" w:rsidRDefault="008D1B3A" w:rsidP="008D1B3A">
      <w:pPr>
        <w:pStyle w:val="GvdeMetni"/>
        <w:numPr>
          <w:ilvl w:val="1"/>
          <w:numId w:val="11"/>
        </w:numPr>
        <w:tabs>
          <w:tab w:val="left" w:pos="1134"/>
        </w:tabs>
        <w:ind w:right="117"/>
        <w:rPr>
          <w:rFonts w:ascii="Verdana" w:eastAsia="Calibri" w:hAnsi="Verdana"/>
          <w:sz w:val="18"/>
          <w:szCs w:val="18"/>
          <w:lang w:val="tr-TR"/>
        </w:rPr>
      </w:pPr>
      <w:r w:rsidRPr="008D1B3A">
        <w:rPr>
          <w:rFonts w:ascii="Verdana" w:eastAsia="Calibri" w:hAnsi="Verdana"/>
          <w:sz w:val="18"/>
          <w:szCs w:val="18"/>
          <w:lang w:val="tr-TR"/>
        </w:rPr>
        <w:t xml:space="preserve">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reddedileceği ihtarını 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 </w:t>
      </w:r>
      <w:proofErr w:type="gramStart"/>
      <w:r w:rsidRPr="008D1B3A">
        <w:rPr>
          <w:rFonts w:ascii="Verdana" w:eastAsia="Calibri" w:hAnsi="Verdana"/>
          <w:sz w:val="18"/>
          <w:szCs w:val="18"/>
          <w:lang w:val="tr-TR"/>
        </w:rPr>
        <w:t>(</w:t>
      </w:r>
      <w:proofErr w:type="gramEnd"/>
      <w:r w:rsidRPr="008D1B3A">
        <w:rPr>
          <w:rFonts w:ascii="Verdana" w:eastAsia="Calibri" w:hAnsi="Verdana"/>
          <w:sz w:val="18"/>
          <w:szCs w:val="18"/>
          <w:lang w:val="tr-TR"/>
        </w:rPr>
        <w:t xml:space="preserve">6325 sayılı Kanun. </w:t>
      </w:r>
      <w:proofErr w:type="gramStart"/>
      <w:r w:rsidRPr="008D1B3A">
        <w:rPr>
          <w:rFonts w:ascii="Verdana" w:eastAsia="Calibri" w:hAnsi="Verdana"/>
          <w:sz w:val="18"/>
          <w:szCs w:val="18"/>
          <w:lang w:val="tr-TR"/>
        </w:rPr>
        <w:t>m.</w:t>
      </w:r>
      <w:proofErr w:type="gramEnd"/>
      <w:r w:rsidRPr="008D1B3A">
        <w:rPr>
          <w:rFonts w:ascii="Verdana" w:eastAsia="Calibri" w:hAnsi="Verdana"/>
          <w:sz w:val="18"/>
          <w:szCs w:val="18"/>
          <w:lang w:val="tr-TR"/>
        </w:rPr>
        <w:t xml:space="preserve"> 18/A -2 )</w:t>
      </w:r>
    </w:p>
    <w:p w:rsidR="000E61D7" w:rsidRDefault="00B965F9" w:rsidP="00B965F9">
      <w:pPr>
        <w:pStyle w:val="GvdeMetni"/>
        <w:numPr>
          <w:ilvl w:val="1"/>
          <w:numId w:val="11"/>
        </w:numPr>
        <w:tabs>
          <w:tab w:val="left" w:pos="1134"/>
        </w:tabs>
        <w:ind w:right="117"/>
        <w:rPr>
          <w:rFonts w:ascii="Verdana" w:eastAsia="Calibri" w:hAnsi="Verdana"/>
          <w:sz w:val="18"/>
          <w:szCs w:val="18"/>
          <w:lang w:val="tr-TR"/>
        </w:rPr>
      </w:pPr>
      <w:r w:rsidRPr="00B965F9">
        <w:rPr>
          <w:rFonts w:ascii="Verdana" w:eastAsia="Calibri" w:hAnsi="Verdana"/>
          <w:sz w:val="18"/>
          <w:szCs w:val="18"/>
          <w:lang w:val="tr-TR"/>
        </w:rPr>
        <w:t>Arabulucu, yapılan başvuruyu görevlendirildiği tarihten itibaren Altı hafta içinde sonuçlandırır. Bu süre zorunlu hâllerde arabulucu tarafından en fazla iki hafta uzatılabilir (6102 sayılı kanun 5/A -2 )</w:t>
      </w:r>
    </w:p>
    <w:p w:rsidR="00B965F9" w:rsidRDefault="00ED18AA" w:rsidP="00ED18AA">
      <w:pPr>
        <w:pStyle w:val="GvdeMetni"/>
        <w:numPr>
          <w:ilvl w:val="1"/>
          <w:numId w:val="11"/>
        </w:numPr>
        <w:tabs>
          <w:tab w:val="left" w:pos="709"/>
        </w:tabs>
        <w:ind w:right="117"/>
        <w:rPr>
          <w:rFonts w:ascii="Verdana" w:eastAsia="Calibri" w:hAnsi="Verdana"/>
          <w:sz w:val="18"/>
          <w:szCs w:val="18"/>
          <w:lang w:val="tr-TR"/>
        </w:rPr>
      </w:pPr>
      <w:r w:rsidRPr="00ED18AA">
        <w:rPr>
          <w:rFonts w:ascii="Verdana" w:eastAsia="Calibri" w:hAnsi="Verdana"/>
          <w:sz w:val="18"/>
          <w:szCs w:val="18"/>
          <w:lang w:val="tr-TR"/>
        </w:rPr>
        <w:t>Arabulucu, taraflara ulaşılamaması, taraflar katılmadığı için görüşme yapılamaması yahut yapılan görüşmeler sonucunda anlaşmaya varılması veya varıl</w:t>
      </w:r>
      <w:r>
        <w:rPr>
          <w:rFonts w:ascii="Verdana" w:eastAsia="Calibri" w:hAnsi="Verdana"/>
          <w:sz w:val="18"/>
          <w:szCs w:val="18"/>
          <w:lang w:val="tr-TR"/>
        </w:rPr>
        <w:t xml:space="preserve">amaması hâllerinde arabuluculuk </w:t>
      </w:r>
      <w:r w:rsidRPr="00ED18AA">
        <w:rPr>
          <w:rFonts w:ascii="Verdana" w:eastAsia="Calibri" w:hAnsi="Verdana"/>
          <w:sz w:val="18"/>
          <w:szCs w:val="18"/>
          <w:lang w:val="tr-TR"/>
        </w:rPr>
        <w:t>faaliyetini</w:t>
      </w:r>
      <w:r>
        <w:rPr>
          <w:rFonts w:ascii="Verdana" w:eastAsia="Calibri" w:hAnsi="Verdana"/>
          <w:sz w:val="18"/>
          <w:szCs w:val="18"/>
          <w:lang w:val="tr-TR"/>
        </w:rPr>
        <w:t xml:space="preserve"> sona erdirir ve</w:t>
      </w:r>
      <w:r>
        <w:rPr>
          <w:rFonts w:ascii="Verdana" w:eastAsia="Calibri" w:hAnsi="Verdana"/>
          <w:sz w:val="18"/>
          <w:szCs w:val="18"/>
          <w:lang w:val="tr-TR"/>
        </w:rPr>
        <w:tab/>
        <w:t xml:space="preserve">son </w:t>
      </w:r>
      <w:r w:rsidRPr="00ED18AA">
        <w:rPr>
          <w:rFonts w:ascii="Verdana" w:eastAsia="Calibri" w:hAnsi="Verdana"/>
          <w:sz w:val="18"/>
          <w:szCs w:val="18"/>
          <w:lang w:val="tr-TR"/>
        </w:rPr>
        <w:t xml:space="preserve">tutana düzenleyerek durumu derhâl arabuluculuk bürosuna bildirir </w:t>
      </w:r>
      <w:proofErr w:type="gramStart"/>
      <w:r w:rsidRPr="00ED18AA">
        <w:rPr>
          <w:rFonts w:ascii="Verdana" w:eastAsia="Calibri" w:hAnsi="Verdana"/>
          <w:sz w:val="18"/>
          <w:szCs w:val="18"/>
          <w:lang w:val="tr-TR"/>
        </w:rPr>
        <w:t>(</w:t>
      </w:r>
      <w:proofErr w:type="gramEnd"/>
      <w:r w:rsidRPr="00ED18AA">
        <w:rPr>
          <w:rFonts w:ascii="Verdana" w:eastAsia="Calibri" w:hAnsi="Verdana"/>
          <w:sz w:val="18"/>
          <w:szCs w:val="18"/>
          <w:lang w:val="tr-TR"/>
        </w:rPr>
        <w:t xml:space="preserve">6325 sayılı Kanun. </w:t>
      </w:r>
      <w:proofErr w:type="gramStart"/>
      <w:r w:rsidRPr="00ED18AA">
        <w:rPr>
          <w:rFonts w:ascii="Verdana" w:eastAsia="Calibri" w:hAnsi="Verdana"/>
          <w:sz w:val="18"/>
          <w:szCs w:val="18"/>
          <w:lang w:val="tr-TR"/>
        </w:rPr>
        <w:t>m.</w:t>
      </w:r>
      <w:proofErr w:type="gramEnd"/>
      <w:r w:rsidRPr="00ED18AA">
        <w:rPr>
          <w:rFonts w:ascii="Verdana" w:eastAsia="Calibri" w:hAnsi="Verdana"/>
          <w:sz w:val="18"/>
          <w:szCs w:val="18"/>
          <w:lang w:val="tr-TR"/>
        </w:rPr>
        <w:t xml:space="preserve"> 18/A -10 )</w:t>
      </w:r>
    </w:p>
    <w:p w:rsidR="00ED18AA" w:rsidRDefault="00F070C8" w:rsidP="00F070C8">
      <w:pPr>
        <w:pStyle w:val="GvdeMetni"/>
        <w:numPr>
          <w:ilvl w:val="1"/>
          <w:numId w:val="11"/>
        </w:numPr>
        <w:tabs>
          <w:tab w:val="left" w:pos="709"/>
        </w:tabs>
        <w:ind w:right="117"/>
        <w:rPr>
          <w:rFonts w:ascii="Verdana" w:eastAsia="Calibri" w:hAnsi="Verdana"/>
          <w:sz w:val="18"/>
          <w:szCs w:val="18"/>
          <w:lang w:val="tr-TR"/>
        </w:rPr>
      </w:pPr>
      <w:r w:rsidRPr="00F070C8">
        <w:rPr>
          <w:rFonts w:ascii="Verdana" w:eastAsia="Calibri" w:hAnsi="Verdana"/>
          <w:sz w:val="18"/>
          <w:szCs w:val="18"/>
          <w:lang w:val="tr-TR"/>
        </w:rPr>
        <w:t xml:space="preserve">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w:t>
      </w:r>
      <w:proofErr w:type="gramStart"/>
      <w:r w:rsidRPr="00F070C8">
        <w:rPr>
          <w:rFonts w:ascii="Verdana" w:eastAsia="Calibri" w:hAnsi="Verdana"/>
          <w:sz w:val="18"/>
          <w:szCs w:val="18"/>
          <w:lang w:val="tr-TR"/>
        </w:rPr>
        <w:t>(</w:t>
      </w:r>
      <w:proofErr w:type="gramEnd"/>
      <w:r w:rsidRPr="00F070C8">
        <w:rPr>
          <w:rFonts w:ascii="Verdana" w:eastAsia="Calibri" w:hAnsi="Verdana"/>
          <w:sz w:val="18"/>
          <w:szCs w:val="18"/>
          <w:lang w:val="tr-TR"/>
        </w:rPr>
        <w:t xml:space="preserve">6325 sayılı Kanun. </w:t>
      </w:r>
      <w:proofErr w:type="gramStart"/>
      <w:r w:rsidRPr="00F070C8">
        <w:rPr>
          <w:rFonts w:ascii="Verdana" w:eastAsia="Calibri" w:hAnsi="Verdana"/>
          <w:sz w:val="18"/>
          <w:szCs w:val="18"/>
          <w:lang w:val="tr-TR"/>
        </w:rPr>
        <w:t>m.</w:t>
      </w:r>
      <w:proofErr w:type="gramEnd"/>
      <w:r w:rsidRPr="00F070C8">
        <w:rPr>
          <w:rFonts w:ascii="Verdana" w:eastAsia="Calibri" w:hAnsi="Verdana"/>
          <w:sz w:val="18"/>
          <w:szCs w:val="18"/>
          <w:lang w:val="tr-TR"/>
        </w:rPr>
        <w:t xml:space="preserve"> 18/A -12 )</w:t>
      </w:r>
    </w:p>
    <w:p w:rsidR="00F070C8" w:rsidRDefault="00F070C8" w:rsidP="00F070C8">
      <w:pPr>
        <w:pStyle w:val="GvdeMetni"/>
        <w:numPr>
          <w:ilvl w:val="1"/>
          <w:numId w:val="11"/>
        </w:numPr>
        <w:tabs>
          <w:tab w:val="left" w:pos="709"/>
        </w:tabs>
        <w:ind w:right="117"/>
        <w:rPr>
          <w:rFonts w:ascii="Verdana" w:eastAsia="Calibri" w:hAnsi="Verdana"/>
          <w:sz w:val="18"/>
          <w:szCs w:val="18"/>
          <w:lang w:val="tr-TR"/>
        </w:rPr>
      </w:pPr>
      <w:r w:rsidRPr="00F070C8">
        <w:rPr>
          <w:rFonts w:ascii="Verdana" w:eastAsia="Calibri" w:hAnsi="Verdana"/>
          <w:sz w:val="18"/>
          <w:szCs w:val="18"/>
          <w:lang w:val="tr-TR"/>
        </w:rPr>
        <w:tab/>
        <w:t xml:space="preserve">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aşan kısma ilişkin ücret aksi kararlaştırılmadıkça taraflarca eşit şekilde uyuşmazlığın konusu dikkate alınarak Tarifenin Birinci Kısmına göre karşılanır. Adalet Bakanlığı bütçesinden ödenen ve taraflarca karşılanan arabuluculuk ücreti, yargılama giderlerinden sayılır </w:t>
      </w:r>
      <w:proofErr w:type="gramStart"/>
      <w:r w:rsidRPr="00F070C8">
        <w:rPr>
          <w:rFonts w:ascii="Verdana" w:eastAsia="Calibri" w:hAnsi="Verdana"/>
          <w:sz w:val="18"/>
          <w:szCs w:val="18"/>
          <w:lang w:val="tr-TR"/>
        </w:rPr>
        <w:t>(</w:t>
      </w:r>
      <w:proofErr w:type="gramEnd"/>
      <w:r w:rsidRPr="00F070C8">
        <w:rPr>
          <w:rFonts w:ascii="Verdana" w:eastAsia="Calibri" w:hAnsi="Verdana"/>
          <w:sz w:val="18"/>
          <w:szCs w:val="18"/>
          <w:lang w:val="tr-TR"/>
        </w:rPr>
        <w:t xml:space="preserve">6325 sayılı Kanun. </w:t>
      </w:r>
      <w:proofErr w:type="gramStart"/>
      <w:r w:rsidRPr="00F070C8">
        <w:rPr>
          <w:rFonts w:ascii="Verdana" w:eastAsia="Calibri" w:hAnsi="Verdana"/>
          <w:sz w:val="18"/>
          <w:szCs w:val="18"/>
          <w:lang w:val="tr-TR"/>
        </w:rPr>
        <w:t>m.</w:t>
      </w:r>
      <w:proofErr w:type="gramEnd"/>
      <w:r w:rsidRPr="00F070C8">
        <w:rPr>
          <w:rFonts w:ascii="Verdana" w:eastAsia="Calibri" w:hAnsi="Verdana"/>
          <w:sz w:val="18"/>
          <w:szCs w:val="18"/>
          <w:lang w:val="tr-TR"/>
        </w:rPr>
        <w:t xml:space="preserve"> 18/A -13 )</w:t>
      </w:r>
    </w:p>
    <w:p w:rsidR="00F070C8" w:rsidRDefault="00F070C8" w:rsidP="00F070C8">
      <w:pPr>
        <w:pStyle w:val="GvdeMetni"/>
        <w:numPr>
          <w:ilvl w:val="1"/>
          <w:numId w:val="11"/>
        </w:numPr>
        <w:tabs>
          <w:tab w:val="left" w:pos="709"/>
        </w:tabs>
        <w:ind w:right="117"/>
        <w:rPr>
          <w:rFonts w:ascii="Verdana" w:eastAsia="Calibri" w:hAnsi="Verdana"/>
          <w:sz w:val="18"/>
          <w:szCs w:val="18"/>
          <w:lang w:val="tr-TR"/>
        </w:rPr>
      </w:pPr>
      <w:r w:rsidRPr="00F070C8">
        <w:rPr>
          <w:rFonts w:ascii="Verdana" w:eastAsia="Calibri" w:hAnsi="Verdana"/>
          <w:sz w:val="18"/>
          <w:szCs w:val="18"/>
          <w:lang w:val="tr-TR"/>
        </w:rPr>
        <w:tab/>
        <w:t xml:space="preserve"> Arabuluculuk müzakerelerine taraflar bizzat, kanuni temsilcileri veya avukatları aracılığıyla katılabilirler. Uyuşmazlığın çözümüne katkı sağlayabilecek uzman kişiler de müzakerelerde hazır bulundurulabilir.  </w:t>
      </w:r>
      <w:proofErr w:type="gramStart"/>
      <w:r w:rsidRPr="00F070C8">
        <w:rPr>
          <w:rFonts w:ascii="Verdana" w:eastAsia="Calibri" w:hAnsi="Verdana"/>
          <w:sz w:val="18"/>
          <w:szCs w:val="18"/>
          <w:lang w:val="tr-TR"/>
        </w:rPr>
        <w:t>(</w:t>
      </w:r>
      <w:proofErr w:type="gramEnd"/>
      <w:r w:rsidRPr="00F070C8">
        <w:rPr>
          <w:rFonts w:ascii="Verdana" w:eastAsia="Calibri" w:hAnsi="Verdana"/>
          <w:sz w:val="18"/>
          <w:szCs w:val="18"/>
          <w:lang w:val="tr-TR"/>
        </w:rPr>
        <w:t xml:space="preserve">6325 sayılı Kanun. </w:t>
      </w:r>
      <w:proofErr w:type="gramStart"/>
      <w:r w:rsidRPr="00F070C8">
        <w:rPr>
          <w:rFonts w:ascii="Verdana" w:eastAsia="Calibri" w:hAnsi="Verdana"/>
          <w:sz w:val="18"/>
          <w:szCs w:val="18"/>
          <w:lang w:val="tr-TR"/>
        </w:rPr>
        <w:t>m.</w:t>
      </w:r>
      <w:proofErr w:type="gramEnd"/>
      <w:r w:rsidRPr="00F070C8">
        <w:rPr>
          <w:rFonts w:ascii="Verdana" w:eastAsia="Calibri" w:hAnsi="Verdana"/>
          <w:sz w:val="18"/>
          <w:szCs w:val="18"/>
          <w:lang w:val="tr-TR"/>
        </w:rPr>
        <w:t xml:space="preserve"> 15 -6 )</w:t>
      </w:r>
    </w:p>
    <w:p w:rsidR="00F070C8" w:rsidRDefault="00F070C8" w:rsidP="00F070C8">
      <w:pPr>
        <w:pStyle w:val="GvdeMetni"/>
        <w:numPr>
          <w:ilvl w:val="1"/>
          <w:numId w:val="11"/>
        </w:numPr>
        <w:tabs>
          <w:tab w:val="left" w:pos="709"/>
        </w:tabs>
        <w:ind w:right="117"/>
        <w:rPr>
          <w:rFonts w:ascii="Verdana" w:eastAsia="Calibri" w:hAnsi="Verdana"/>
          <w:sz w:val="18"/>
          <w:szCs w:val="18"/>
          <w:lang w:val="tr-TR"/>
        </w:rPr>
      </w:pPr>
      <w:r w:rsidRPr="00F070C8">
        <w:rPr>
          <w:rFonts w:ascii="Verdana" w:eastAsia="Calibri" w:hAnsi="Verdana"/>
          <w:sz w:val="18"/>
          <w:szCs w:val="18"/>
          <w:lang w:val="tr-TR"/>
        </w:rPr>
        <w:t xml:space="preserve">Arabuluculuk görüşmeleri, taraflarca aksi kararlaştırılmadıkça, arabulucuyu görevlendiren büronun bağlı bulunduğu adli yargı ilk derece mahkemesi adalet komisyonunun yetki alanı içinde yürütülür </w:t>
      </w:r>
      <w:proofErr w:type="gramStart"/>
      <w:r w:rsidRPr="00F070C8">
        <w:rPr>
          <w:rFonts w:ascii="Verdana" w:eastAsia="Calibri" w:hAnsi="Verdana"/>
          <w:sz w:val="18"/>
          <w:szCs w:val="18"/>
          <w:lang w:val="tr-TR"/>
        </w:rPr>
        <w:t>(</w:t>
      </w:r>
      <w:proofErr w:type="gramEnd"/>
      <w:r w:rsidRPr="00F070C8">
        <w:rPr>
          <w:rFonts w:ascii="Verdana" w:eastAsia="Calibri" w:hAnsi="Verdana"/>
          <w:sz w:val="18"/>
          <w:szCs w:val="18"/>
          <w:lang w:val="tr-TR"/>
        </w:rPr>
        <w:t xml:space="preserve">6325 sayılı Kanun. </w:t>
      </w:r>
      <w:proofErr w:type="gramStart"/>
      <w:r w:rsidRPr="00F070C8">
        <w:rPr>
          <w:rFonts w:ascii="Verdana" w:eastAsia="Calibri" w:hAnsi="Verdana"/>
          <w:sz w:val="18"/>
          <w:szCs w:val="18"/>
          <w:lang w:val="tr-TR"/>
        </w:rPr>
        <w:t>m.</w:t>
      </w:r>
      <w:proofErr w:type="gramEnd"/>
      <w:r w:rsidRPr="00F070C8">
        <w:rPr>
          <w:rFonts w:ascii="Verdana" w:eastAsia="Calibri" w:hAnsi="Verdana"/>
          <w:sz w:val="18"/>
          <w:szCs w:val="18"/>
          <w:lang w:val="tr-TR"/>
        </w:rPr>
        <w:t xml:space="preserve"> 18/A -17 )</w:t>
      </w:r>
    </w:p>
    <w:p w:rsidR="00E377DD" w:rsidRDefault="00F070C8" w:rsidP="00B30126">
      <w:pPr>
        <w:pStyle w:val="GvdeMetni"/>
        <w:numPr>
          <w:ilvl w:val="1"/>
          <w:numId w:val="11"/>
        </w:numPr>
        <w:tabs>
          <w:tab w:val="left" w:pos="709"/>
        </w:tabs>
        <w:ind w:right="117"/>
        <w:rPr>
          <w:rFonts w:ascii="Verdana" w:eastAsia="Calibri" w:hAnsi="Verdana"/>
          <w:sz w:val="18"/>
          <w:szCs w:val="18"/>
          <w:lang w:val="tr-TR"/>
        </w:rPr>
      </w:pPr>
      <w:r w:rsidRPr="00F070C8">
        <w:rPr>
          <w:rFonts w:ascii="Verdana" w:eastAsia="Calibri" w:hAnsi="Verdana"/>
          <w:sz w:val="18"/>
          <w:szCs w:val="18"/>
          <w:lang w:val="tr-TR"/>
        </w:rPr>
        <w:t xml:space="preserve">Taraflardan </w:t>
      </w:r>
      <w:r w:rsidR="00B30126" w:rsidRPr="00B30126">
        <w:rPr>
          <w:rFonts w:ascii="Verdana" w:eastAsia="Calibri" w:hAnsi="Verdana"/>
          <w:sz w:val="18"/>
          <w:szCs w:val="18"/>
          <w:lang w:val="tr-TR"/>
        </w:rPr>
        <w:t xml:space="preserve">birinin geçerli bir mazeret göstermeksizin ilk toplantıya katılmaması sebebiyle arabuluculuk faaliyetinin sona ermesi durumunda toplantıya katılmayan taraf, son tutanakta </w:t>
      </w:r>
      <w:r w:rsidR="00B30126" w:rsidRPr="00B30126">
        <w:rPr>
          <w:rFonts w:ascii="Verdana" w:eastAsia="Calibri" w:hAnsi="Verdana"/>
          <w:sz w:val="18"/>
          <w:szCs w:val="18"/>
          <w:lang w:val="tr-TR"/>
        </w:rPr>
        <w:lastRenderedPageBreak/>
        <w:t>belirtilir ve bu taraf davada kısmen veya tamamen haklı çıksa bile karşı tarafın ödemekle yükümlü olduğu yargılama giderlerinin yarısından sorumlu tutulur.  Ayrıca bu taraf lehine Avukatlık Asgari Ücret Tarifesine göre belirlenen vekâlet ücretinin yarısına hükmedilir.  Her iki tarafın da ilk toplantıya katılmaması sebebiyle sona eren arabuluculuk faaliyeti üzerine açılacak davalarda tarafların yaptıkları yargılama giderleri kendi üzerlerinde bırakılır. 6325 sayılı Kanun m 18/A- 11</w:t>
      </w:r>
      <w:proofErr w:type="gramStart"/>
      <w:r w:rsidR="00B30126" w:rsidRPr="00B30126">
        <w:rPr>
          <w:rFonts w:ascii="Verdana" w:eastAsia="Calibri" w:hAnsi="Verdana"/>
          <w:sz w:val="18"/>
          <w:szCs w:val="18"/>
          <w:lang w:val="tr-TR"/>
        </w:rPr>
        <w:t>)</w:t>
      </w:r>
      <w:proofErr w:type="gramEnd"/>
    </w:p>
    <w:p w:rsidR="00F070C8" w:rsidRDefault="00F070C8" w:rsidP="00E377DD">
      <w:pPr>
        <w:pStyle w:val="GvdeMetni"/>
        <w:numPr>
          <w:ilvl w:val="1"/>
          <w:numId w:val="11"/>
        </w:numPr>
        <w:tabs>
          <w:tab w:val="left" w:pos="709"/>
        </w:tabs>
        <w:ind w:right="117"/>
        <w:rPr>
          <w:rFonts w:ascii="Verdana" w:eastAsia="Calibri" w:hAnsi="Verdana"/>
          <w:sz w:val="18"/>
          <w:szCs w:val="18"/>
          <w:lang w:val="tr-TR"/>
        </w:rPr>
      </w:pPr>
      <w:r w:rsidRPr="00F070C8">
        <w:rPr>
          <w:rFonts w:ascii="Verdana" w:eastAsia="Calibri" w:hAnsi="Verdana"/>
          <w:sz w:val="18"/>
          <w:szCs w:val="18"/>
          <w:lang w:val="tr-TR"/>
        </w:rPr>
        <w:tab/>
      </w:r>
      <w:r w:rsidR="00E377DD" w:rsidRPr="00E377DD">
        <w:rPr>
          <w:rFonts w:ascii="Verdana" w:eastAsia="Calibri" w:hAnsi="Verdana"/>
          <w:sz w:val="18"/>
          <w:szCs w:val="18"/>
          <w:lang w:val="tr-TR"/>
        </w:rPr>
        <w:t xml:space="preserve">Dava açılmadan önce ihtiyati tedbir kararı verilmesi hâlinde 6100 sayılı Kanunun 397 </w:t>
      </w:r>
      <w:proofErr w:type="spellStart"/>
      <w:r w:rsidR="00E377DD" w:rsidRPr="00E377DD">
        <w:rPr>
          <w:rFonts w:ascii="Verdana" w:eastAsia="Calibri" w:hAnsi="Verdana"/>
          <w:sz w:val="18"/>
          <w:szCs w:val="18"/>
          <w:lang w:val="tr-TR"/>
        </w:rPr>
        <w:t>nci</w:t>
      </w:r>
      <w:proofErr w:type="spellEnd"/>
      <w:r w:rsidR="00E377DD" w:rsidRPr="00E377DD">
        <w:rPr>
          <w:rFonts w:ascii="Verdana" w:eastAsia="Calibri" w:hAnsi="Verdana"/>
          <w:sz w:val="18"/>
          <w:szCs w:val="18"/>
          <w:lang w:val="tr-TR"/>
        </w:rPr>
        <w:t xml:space="preserve"> maddesinin birinci fıkrasında, ihtiyati haciz kararı verilmesi hâlinde ise </w:t>
      </w:r>
      <w:proofErr w:type="gramStart"/>
      <w:r w:rsidR="00E377DD" w:rsidRPr="00E377DD">
        <w:rPr>
          <w:rFonts w:ascii="Verdana" w:eastAsia="Calibri" w:hAnsi="Verdana"/>
          <w:sz w:val="18"/>
          <w:szCs w:val="18"/>
          <w:lang w:val="tr-TR"/>
        </w:rPr>
        <w:t>9/6/1932</w:t>
      </w:r>
      <w:proofErr w:type="gramEnd"/>
      <w:r w:rsidR="00E377DD" w:rsidRPr="00E377DD">
        <w:rPr>
          <w:rFonts w:ascii="Verdana" w:eastAsia="Calibri" w:hAnsi="Verdana"/>
          <w:sz w:val="18"/>
          <w:szCs w:val="18"/>
          <w:lang w:val="tr-TR"/>
        </w:rPr>
        <w:t xml:space="preserve"> tarihli 2004 sayılı İcra ve İflas Kanununun 264 üncü maddesinin birinci fıkrasında düzenlenen dava açma süresi, arabuluculuk bürosuna başvurulmasından son tutanağın düzenlendiği tarihe kadar işlemez. (6325 sayılı Arabuluculuk Kanunu m.18/A-16 )</w:t>
      </w:r>
    </w:p>
    <w:p w:rsidR="00DE708A" w:rsidRPr="00C34B23" w:rsidRDefault="00DE708A" w:rsidP="00C34B23">
      <w:pPr>
        <w:rPr>
          <w:rFonts w:ascii="Verdana" w:eastAsia="Calibri" w:hAnsi="Verdana" w:cs="Times New Roman"/>
          <w:b/>
          <w:sz w:val="18"/>
          <w:szCs w:val="18"/>
          <w:lang w:val="tr-TR"/>
        </w:rPr>
      </w:pPr>
    </w:p>
    <w:p w:rsidR="00540C6B" w:rsidRPr="00B3042D" w:rsidRDefault="00540C6B" w:rsidP="00B3042D">
      <w:pPr>
        <w:pStyle w:val="ListeParagraf"/>
        <w:numPr>
          <w:ilvl w:val="0"/>
          <w:numId w:val="5"/>
        </w:numPr>
        <w:tabs>
          <w:tab w:val="left" w:pos="6804"/>
        </w:tabs>
        <w:ind w:right="284"/>
        <w:jc w:val="both"/>
        <w:rPr>
          <w:rFonts w:ascii="Verdana" w:eastAsia="Calibri" w:hAnsi="Verdana" w:cs="Times New Roman"/>
          <w:b/>
          <w:sz w:val="18"/>
          <w:szCs w:val="18"/>
          <w:highlight w:val="lightGray"/>
          <w:lang w:val="tr-TR"/>
        </w:rPr>
      </w:pPr>
      <w:r w:rsidRPr="00B3042D">
        <w:rPr>
          <w:rFonts w:ascii="Verdana" w:eastAsia="Calibri" w:hAnsi="Verdana" w:cs="Times New Roman"/>
          <w:b/>
          <w:sz w:val="18"/>
          <w:szCs w:val="18"/>
          <w:highlight w:val="lightGray"/>
          <w:lang w:val="tr-TR"/>
        </w:rPr>
        <w:t xml:space="preserve">ARABULUCULUĞUN SONA ERMESİ </w:t>
      </w:r>
      <w:r w:rsidR="003F51D7" w:rsidRPr="00B3042D">
        <w:rPr>
          <w:rFonts w:ascii="Verdana" w:eastAsia="Calibri" w:hAnsi="Verdana" w:cs="Times New Roman"/>
          <w:b/>
          <w:sz w:val="18"/>
          <w:szCs w:val="18"/>
          <w:highlight w:val="lightGray"/>
          <w:lang w:val="tr-TR"/>
        </w:rPr>
        <w:tab/>
        <w:t>:</w:t>
      </w:r>
    </w:p>
    <w:p w:rsidR="00364174" w:rsidRPr="00540C6B" w:rsidRDefault="00540C6B" w:rsidP="00B3042D">
      <w:pPr>
        <w:ind w:right="284" w:firstLine="360"/>
        <w:contextualSpacing/>
        <w:jc w:val="both"/>
        <w:rPr>
          <w:rFonts w:ascii="Verdana" w:eastAsia="Calibri" w:hAnsi="Verdana" w:cs="Times New Roman"/>
          <w:sz w:val="18"/>
          <w:szCs w:val="18"/>
          <w:lang w:val="tr-TR"/>
        </w:rPr>
      </w:pPr>
      <w:r w:rsidRPr="00540C6B">
        <w:rPr>
          <w:rFonts w:ascii="Verdana" w:eastAsia="Calibri" w:hAnsi="Verdana" w:cs="Times New Roman"/>
          <w:sz w:val="18"/>
          <w:szCs w:val="18"/>
          <w:lang w:val="tr-TR"/>
        </w:rPr>
        <w:t>Aşağıda belirtilen hallerde arabuluculuk faaliyeti sona erer:</w:t>
      </w:r>
    </w:p>
    <w:p w:rsidR="00B3042D" w:rsidRPr="00B3042D" w:rsidRDefault="00B3042D" w:rsidP="00B3042D">
      <w:pPr>
        <w:pStyle w:val="ListeParagraf"/>
        <w:numPr>
          <w:ilvl w:val="0"/>
          <w:numId w:val="7"/>
        </w:numPr>
        <w:ind w:right="284"/>
        <w:jc w:val="both"/>
        <w:rPr>
          <w:rFonts w:ascii="Verdana" w:eastAsia="Calibri" w:hAnsi="Verdana" w:cs="Times New Roman"/>
          <w:vanish/>
          <w:sz w:val="18"/>
          <w:szCs w:val="18"/>
          <w:lang w:val="tr-TR"/>
        </w:rPr>
      </w:pPr>
    </w:p>
    <w:p w:rsidR="00B3042D" w:rsidRPr="00B3042D" w:rsidRDefault="00B3042D" w:rsidP="00B3042D">
      <w:pPr>
        <w:pStyle w:val="ListeParagraf"/>
        <w:numPr>
          <w:ilvl w:val="0"/>
          <w:numId w:val="7"/>
        </w:numPr>
        <w:ind w:right="284"/>
        <w:jc w:val="both"/>
        <w:rPr>
          <w:rFonts w:ascii="Verdana" w:eastAsia="Calibri" w:hAnsi="Verdana" w:cs="Times New Roman"/>
          <w:vanish/>
          <w:sz w:val="18"/>
          <w:szCs w:val="18"/>
          <w:lang w:val="tr-TR"/>
        </w:rPr>
      </w:pPr>
    </w:p>
    <w:p w:rsidR="00540C6B" w:rsidRDefault="00E13018" w:rsidP="00B3042D">
      <w:pPr>
        <w:pStyle w:val="ListeParagraf"/>
        <w:numPr>
          <w:ilvl w:val="1"/>
          <w:numId w:val="7"/>
        </w:numPr>
        <w:ind w:right="284"/>
        <w:jc w:val="both"/>
        <w:rPr>
          <w:rFonts w:ascii="Verdana" w:eastAsia="Calibri" w:hAnsi="Verdana" w:cs="Times New Roman"/>
          <w:sz w:val="18"/>
          <w:szCs w:val="18"/>
          <w:lang w:val="tr-TR"/>
        </w:rPr>
      </w:pPr>
      <w:r>
        <w:rPr>
          <w:rFonts w:ascii="Verdana" w:eastAsia="Calibri" w:hAnsi="Verdana" w:cs="Times New Roman"/>
          <w:sz w:val="18"/>
          <w:szCs w:val="18"/>
          <w:lang w:val="tr-TR"/>
        </w:rPr>
        <w:t>Tarafların</w:t>
      </w:r>
      <w:r w:rsidR="00540C6B" w:rsidRPr="00364174">
        <w:rPr>
          <w:rFonts w:ascii="Verdana" w:eastAsia="Calibri" w:hAnsi="Verdana" w:cs="Times New Roman"/>
          <w:sz w:val="18"/>
          <w:szCs w:val="18"/>
          <w:lang w:val="tr-TR"/>
        </w:rPr>
        <w:t xml:space="preserve"> uyuşmazlık konusu </w:t>
      </w:r>
      <w:r>
        <w:rPr>
          <w:rFonts w:ascii="Verdana" w:eastAsia="Calibri" w:hAnsi="Verdana" w:cs="Times New Roman"/>
          <w:sz w:val="18"/>
          <w:szCs w:val="18"/>
          <w:lang w:val="tr-TR"/>
        </w:rPr>
        <w:t>üzerinde anlaşmaya varması</w:t>
      </w:r>
      <w:r w:rsidR="00E22CC7">
        <w:rPr>
          <w:rFonts w:ascii="Verdana" w:eastAsia="Calibri" w:hAnsi="Verdana" w:cs="Times New Roman"/>
          <w:sz w:val="18"/>
          <w:szCs w:val="18"/>
          <w:lang w:val="tr-TR"/>
        </w:rPr>
        <w:t xml:space="preserve"> veya anlaşamadıklarını bildirmesi.</w:t>
      </w:r>
    </w:p>
    <w:p w:rsidR="00364174" w:rsidRDefault="00364174" w:rsidP="00364174">
      <w:pPr>
        <w:pStyle w:val="ListeParagraf"/>
        <w:ind w:right="284"/>
        <w:jc w:val="both"/>
        <w:rPr>
          <w:rFonts w:ascii="Verdana" w:eastAsia="Calibri" w:hAnsi="Verdana" w:cs="Times New Roman"/>
          <w:sz w:val="18"/>
          <w:szCs w:val="18"/>
          <w:lang w:val="tr-TR"/>
        </w:rPr>
      </w:pPr>
    </w:p>
    <w:p w:rsidR="00540C6B" w:rsidRDefault="00142327" w:rsidP="00364174">
      <w:pPr>
        <w:pStyle w:val="ListeParagraf"/>
        <w:numPr>
          <w:ilvl w:val="1"/>
          <w:numId w:val="7"/>
        </w:numPr>
        <w:ind w:right="284"/>
        <w:jc w:val="both"/>
        <w:rPr>
          <w:rFonts w:ascii="Verdana" w:eastAsia="Calibri" w:hAnsi="Verdana" w:cs="Times New Roman"/>
          <w:sz w:val="18"/>
          <w:szCs w:val="18"/>
          <w:lang w:val="tr-TR"/>
        </w:rPr>
      </w:pPr>
      <w:r>
        <w:rPr>
          <w:rFonts w:ascii="Verdana" w:eastAsia="Calibri" w:hAnsi="Verdana" w:cs="Times New Roman"/>
          <w:sz w:val="18"/>
          <w:szCs w:val="18"/>
          <w:lang w:val="tr-TR"/>
        </w:rPr>
        <w:t>Taraflara danışıldıktan</w:t>
      </w:r>
      <w:r w:rsidR="00540C6B" w:rsidRPr="00364174">
        <w:rPr>
          <w:rFonts w:ascii="Verdana" w:eastAsia="Calibri" w:hAnsi="Verdana" w:cs="Times New Roman"/>
          <w:sz w:val="18"/>
          <w:szCs w:val="18"/>
          <w:lang w:val="tr-TR"/>
        </w:rPr>
        <w:t xml:space="preserve"> sonra arabuluculuk için daha fazla çaba sarf edilmesinin gereksiz olduğunun arabulucu tarafından tespit edilmesi. </w:t>
      </w:r>
    </w:p>
    <w:p w:rsidR="00364174" w:rsidRPr="00364174" w:rsidRDefault="00364174" w:rsidP="00364174">
      <w:pPr>
        <w:pStyle w:val="ListeParagraf"/>
        <w:rPr>
          <w:rFonts w:ascii="Verdana" w:eastAsia="Calibri" w:hAnsi="Verdana" w:cs="Times New Roman"/>
          <w:sz w:val="18"/>
          <w:szCs w:val="18"/>
          <w:lang w:val="tr-TR"/>
        </w:rPr>
      </w:pPr>
    </w:p>
    <w:p w:rsidR="00540C6B" w:rsidRDefault="00540C6B" w:rsidP="00364174">
      <w:pPr>
        <w:pStyle w:val="ListeParagraf"/>
        <w:numPr>
          <w:ilvl w:val="1"/>
          <w:numId w:val="7"/>
        </w:numPr>
        <w:ind w:right="284"/>
        <w:jc w:val="both"/>
        <w:rPr>
          <w:rFonts w:ascii="Verdana" w:eastAsia="Calibri" w:hAnsi="Verdana" w:cs="Times New Roman"/>
          <w:sz w:val="18"/>
          <w:szCs w:val="18"/>
          <w:lang w:val="tr-TR"/>
        </w:rPr>
      </w:pPr>
      <w:proofErr w:type="gramStart"/>
      <w:r w:rsidRPr="00364174">
        <w:rPr>
          <w:rFonts w:ascii="Verdana" w:eastAsia="Calibri" w:hAnsi="Verdana" w:cs="Times New Roman"/>
          <w:sz w:val="18"/>
          <w:szCs w:val="18"/>
          <w:lang w:val="tr-TR"/>
        </w:rPr>
        <w:t>Taraflardan birinin karşı tarafa veya arabulucu</w:t>
      </w:r>
      <w:r w:rsidR="009D3C43">
        <w:rPr>
          <w:rFonts w:ascii="Verdana" w:eastAsia="Calibri" w:hAnsi="Verdana" w:cs="Times New Roman"/>
          <w:sz w:val="18"/>
          <w:szCs w:val="18"/>
          <w:lang w:val="tr-TR"/>
        </w:rPr>
        <w:t xml:space="preserve">ya, arabuluculuk faaliyetinden </w:t>
      </w:r>
      <w:r w:rsidRPr="00364174">
        <w:rPr>
          <w:rFonts w:ascii="Verdana" w:eastAsia="Calibri" w:hAnsi="Verdana" w:cs="Times New Roman"/>
          <w:sz w:val="18"/>
          <w:szCs w:val="18"/>
          <w:lang w:val="tr-TR"/>
        </w:rPr>
        <w:t>çekildiğini bildirmesi.</w:t>
      </w:r>
      <w:proofErr w:type="gramEnd"/>
    </w:p>
    <w:p w:rsidR="00364174" w:rsidRPr="00364174" w:rsidRDefault="00364174" w:rsidP="00364174">
      <w:pPr>
        <w:pStyle w:val="ListeParagraf"/>
        <w:rPr>
          <w:rFonts w:ascii="Verdana" w:eastAsia="Calibri" w:hAnsi="Verdana" w:cs="Times New Roman"/>
          <w:sz w:val="18"/>
          <w:szCs w:val="18"/>
          <w:lang w:val="tr-TR"/>
        </w:rPr>
      </w:pPr>
    </w:p>
    <w:p w:rsidR="00540C6B" w:rsidRDefault="00540C6B" w:rsidP="00364174">
      <w:pPr>
        <w:pStyle w:val="ListeParagraf"/>
        <w:numPr>
          <w:ilvl w:val="1"/>
          <w:numId w:val="7"/>
        </w:numPr>
        <w:ind w:right="284"/>
        <w:jc w:val="both"/>
        <w:rPr>
          <w:rFonts w:ascii="Verdana" w:eastAsia="Calibri" w:hAnsi="Verdana" w:cs="Times New Roman"/>
          <w:sz w:val="18"/>
          <w:szCs w:val="18"/>
          <w:lang w:val="tr-TR"/>
        </w:rPr>
      </w:pPr>
      <w:r w:rsidRPr="00364174">
        <w:rPr>
          <w:rFonts w:ascii="Verdana" w:eastAsia="Calibri" w:hAnsi="Verdana" w:cs="Times New Roman"/>
          <w:sz w:val="18"/>
          <w:szCs w:val="18"/>
          <w:lang w:val="tr-TR"/>
        </w:rPr>
        <w:t xml:space="preserve">Uyuşmazlığın arabuluculuğa elverişli olmadığının veya </w:t>
      </w:r>
      <w:proofErr w:type="gramStart"/>
      <w:r w:rsidRPr="00364174">
        <w:rPr>
          <w:rFonts w:ascii="Verdana" w:eastAsia="Calibri" w:hAnsi="Verdana" w:cs="Times New Roman"/>
          <w:sz w:val="18"/>
          <w:szCs w:val="18"/>
          <w:lang w:val="tr-TR"/>
        </w:rPr>
        <w:t>4/12/2004</w:t>
      </w:r>
      <w:proofErr w:type="gramEnd"/>
      <w:r w:rsidRPr="00364174">
        <w:rPr>
          <w:rFonts w:ascii="Verdana" w:eastAsia="Calibri" w:hAnsi="Verdana" w:cs="Times New Roman"/>
          <w:sz w:val="18"/>
          <w:szCs w:val="18"/>
          <w:lang w:val="tr-TR"/>
        </w:rPr>
        <w:t xml:space="preserve"> tarihli ve 5270 sayılı Ceza Muhakemesi Kanunu gereğince uzlaşma kapsamına girmeyen bir suç ile ilgili olduğunun tespit edilmesi.</w:t>
      </w:r>
    </w:p>
    <w:p w:rsidR="00364174" w:rsidRPr="00364174" w:rsidRDefault="00364174" w:rsidP="00364174">
      <w:pPr>
        <w:pStyle w:val="ListeParagraf"/>
        <w:rPr>
          <w:rFonts w:ascii="Verdana" w:eastAsia="Calibri" w:hAnsi="Verdana" w:cs="Times New Roman"/>
          <w:sz w:val="18"/>
          <w:szCs w:val="18"/>
          <w:lang w:val="tr-TR"/>
        </w:rPr>
      </w:pPr>
    </w:p>
    <w:p w:rsidR="00540C6B" w:rsidRDefault="00540C6B" w:rsidP="00364174">
      <w:pPr>
        <w:pStyle w:val="ListeParagraf"/>
        <w:numPr>
          <w:ilvl w:val="1"/>
          <w:numId w:val="7"/>
        </w:numPr>
        <w:ind w:right="284"/>
        <w:jc w:val="both"/>
        <w:rPr>
          <w:rFonts w:ascii="Verdana" w:eastAsia="Calibri" w:hAnsi="Verdana" w:cs="Times New Roman"/>
          <w:sz w:val="18"/>
          <w:szCs w:val="18"/>
          <w:lang w:val="tr-TR"/>
        </w:rPr>
      </w:pPr>
      <w:r w:rsidRPr="00364174">
        <w:rPr>
          <w:rFonts w:ascii="Verdana" w:eastAsia="Calibri" w:hAnsi="Verdana" w:cs="Times New Roman"/>
          <w:sz w:val="18"/>
          <w:szCs w:val="18"/>
          <w:lang w:val="tr-TR"/>
        </w:rPr>
        <w:t xml:space="preserve">Arabuluculuk faaliyeti sonunda tarafların anlaştıkları, anlaşamadıkları veya arabuluculuk faaliyetinin nasıl sonuçlandığı bir tutanak ile belgelendirilir. Arabulucu tarafından düzenlenecek bu belge, arabulucu, taraflar veya vekillerince imzalanır. Belge taraflar veya vekillerince imzalanmazsa, sebebi belirtilmek sureti ile sadece arabulucu tarafından imzalanır. </w:t>
      </w:r>
    </w:p>
    <w:p w:rsidR="00364174" w:rsidRPr="00364174" w:rsidRDefault="00364174" w:rsidP="00364174">
      <w:pPr>
        <w:pStyle w:val="ListeParagraf"/>
        <w:rPr>
          <w:rFonts w:ascii="Verdana" w:eastAsia="Calibri" w:hAnsi="Verdana" w:cs="Times New Roman"/>
          <w:sz w:val="18"/>
          <w:szCs w:val="18"/>
          <w:lang w:val="tr-TR"/>
        </w:rPr>
      </w:pPr>
    </w:p>
    <w:p w:rsidR="00540C6B" w:rsidRDefault="00540C6B" w:rsidP="00364174">
      <w:pPr>
        <w:pStyle w:val="ListeParagraf"/>
        <w:numPr>
          <w:ilvl w:val="1"/>
          <w:numId w:val="7"/>
        </w:numPr>
        <w:ind w:right="284"/>
        <w:jc w:val="both"/>
        <w:rPr>
          <w:rFonts w:ascii="Verdana" w:eastAsia="Calibri" w:hAnsi="Verdana" w:cs="Times New Roman"/>
          <w:sz w:val="18"/>
          <w:szCs w:val="18"/>
          <w:lang w:val="tr-TR"/>
        </w:rPr>
      </w:pPr>
      <w:r w:rsidRPr="00364174">
        <w:rPr>
          <w:rFonts w:ascii="Verdana" w:eastAsia="Calibri" w:hAnsi="Verdana" w:cs="Times New Roman"/>
          <w:sz w:val="18"/>
          <w:szCs w:val="18"/>
          <w:lang w:val="tr-TR"/>
        </w:rPr>
        <w:t>Arabulu</w:t>
      </w:r>
      <w:r w:rsidR="009D3C43">
        <w:rPr>
          <w:rFonts w:ascii="Verdana" w:eastAsia="Calibri" w:hAnsi="Verdana" w:cs="Times New Roman"/>
          <w:sz w:val="18"/>
          <w:szCs w:val="18"/>
          <w:lang w:val="tr-TR"/>
        </w:rPr>
        <w:t xml:space="preserve">culuk faaliyeti sonunda </w:t>
      </w:r>
      <w:r w:rsidRPr="00364174">
        <w:rPr>
          <w:rFonts w:ascii="Verdana" w:eastAsia="Calibri" w:hAnsi="Verdana" w:cs="Times New Roman"/>
          <w:sz w:val="18"/>
          <w:szCs w:val="18"/>
          <w:lang w:val="tr-TR"/>
        </w:rPr>
        <w:t>düzenlenen tutanağa, faaliyetin sonuçlanması dışında hangi hususların ya</w:t>
      </w:r>
      <w:r w:rsidR="009D3C43">
        <w:rPr>
          <w:rFonts w:ascii="Verdana" w:eastAsia="Calibri" w:hAnsi="Verdana" w:cs="Times New Roman"/>
          <w:sz w:val="18"/>
          <w:szCs w:val="18"/>
          <w:lang w:val="tr-TR"/>
        </w:rPr>
        <w:t>zılacağına taraflar karar verir</w:t>
      </w:r>
      <w:r w:rsidRPr="00364174">
        <w:rPr>
          <w:rFonts w:ascii="Verdana" w:eastAsia="Calibri" w:hAnsi="Verdana" w:cs="Times New Roman"/>
          <w:sz w:val="18"/>
          <w:szCs w:val="18"/>
          <w:lang w:val="tr-TR"/>
        </w:rPr>
        <w:t xml:space="preserve">. Arabulucu, bu tutanak ve sonuçları konusunda taraflara gerekli açıklamaları yapar. </w:t>
      </w:r>
    </w:p>
    <w:p w:rsidR="00364174" w:rsidRPr="00364174" w:rsidRDefault="00364174" w:rsidP="00364174">
      <w:pPr>
        <w:pStyle w:val="ListeParagraf"/>
        <w:rPr>
          <w:rFonts w:ascii="Verdana" w:eastAsia="Calibri" w:hAnsi="Verdana" w:cs="Times New Roman"/>
          <w:sz w:val="18"/>
          <w:szCs w:val="18"/>
          <w:lang w:val="tr-TR"/>
        </w:rPr>
      </w:pPr>
    </w:p>
    <w:p w:rsidR="00C34B23" w:rsidRPr="00C34B23" w:rsidRDefault="00540C6B" w:rsidP="00C34B23">
      <w:pPr>
        <w:pStyle w:val="ListeParagraf"/>
        <w:numPr>
          <w:ilvl w:val="1"/>
          <w:numId w:val="7"/>
        </w:numPr>
        <w:ind w:right="284"/>
        <w:jc w:val="both"/>
        <w:rPr>
          <w:rFonts w:ascii="Verdana" w:eastAsia="Calibri" w:hAnsi="Verdana" w:cs="Times New Roman"/>
          <w:sz w:val="18"/>
          <w:szCs w:val="18"/>
          <w:lang w:val="tr-TR"/>
        </w:rPr>
      </w:pPr>
      <w:r w:rsidRPr="00364174">
        <w:rPr>
          <w:rFonts w:ascii="Verdana" w:eastAsia="Calibri" w:hAnsi="Verdana" w:cs="Times New Roman"/>
          <w:sz w:val="18"/>
          <w:szCs w:val="18"/>
          <w:lang w:val="tr-TR"/>
        </w:rPr>
        <w:t>Arabuluculuk süreci sırasında taraflardan birinin ölümü halinde, arabuluculuk faaliyeti sona erer.</w:t>
      </w:r>
    </w:p>
    <w:p w:rsidR="00641144" w:rsidRDefault="00540C6B" w:rsidP="00C34B23">
      <w:pPr>
        <w:pStyle w:val="ListeParagraf"/>
        <w:ind w:right="284"/>
        <w:jc w:val="both"/>
        <w:rPr>
          <w:rFonts w:ascii="Verdana" w:eastAsia="Calibri" w:hAnsi="Verdana" w:cs="Times New Roman"/>
          <w:sz w:val="18"/>
          <w:szCs w:val="18"/>
          <w:lang w:val="tr-TR"/>
        </w:rPr>
      </w:pPr>
      <w:r w:rsidRPr="00364174">
        <w:rPr>
          <w:rFonts w:ascii="Verdana" w:eastAsia="Calibri" w:hAnsi="Verdana" w:cs="Times New Roman"/>
          <w:sz w:val="18"/>
          <w:szCs w:val="18"/>
          <w:lang w:val="tr-TR"/>
        </w:rPr>
        <w:t xml:space="preserve"> </w:t>
      </w:r>
    </w:p>
    <w:p w:rsidR="00540C6B" w:rsidRPr="00C34B23" w:rsidRDefault="00540C6B" w:rsidP="00C34B23">
      <w:pPr>
        <w:pStyle w:val="ListeParagraf"/>
        <w:numPr>
          <w:ilvl w:val="0"/>
          <w:numId w:val="5"/>
        </w:numPr>
        <w:tabs>
          <w:tab w:val="left" w:pos="6804"/>
        </w:tabs>
        <w:ind w:right="284"/>
        <w:jc w:val="both"/>
        <w:rPr>
          <w:rFonts w:ascii="Verdana" w:eastAsia="Calibri" w:hAnsi="Verdana" w:cs="Times New Roman"/>
          <w:b/>
          <w:sz w:val="18"/>
          <w:szCs w:val="18"/>
          <w:highlight w:val="lightGray"/>
          <w:lang w:val="tr-TR"/>
        </w:rPr>
      </w:pPr>
      <w:r w:rsidRPr="00C34B23">
        <w:rPr>
          <w:rFonts w:ascii="Verdana" w:eastAsia="Calibri" w:hAnsi="Verdana" w:cs="Times New Roman"/>
          <w:b/>
          <w:sz w:val="18"/>
          <w:szCs w:val="18"/>
          <w:highlight w:val="lightGray"/>
          <w:lang w:val="tr-TR"/>
        </w:rPr>
        <w:t>ARABULUCULUĞUN HUKUKİ SONUÇLARI</w:t>
      </w:r>
      <w:r w:rsidR="00641144" w:rsidRPr="00C34B23">
        <w:rPr>
          <w:rFonts w:ascii="Verdana" w:eastAsia="Calibri" w:hAnsi="Verdana" w:cs="Times New Roman"/>
          <w:b/>
          <w:sz w:val="18"/>
          <w:szCs w:val="18"/>
          <w:highlight w:val="lightGray"/>
          <w:lang w:val="tr-TR"/>
        </w:rPr>
        <w:tab/>
      </w:r>
      <w:r w:rsidRPr="00C34B23">
        <w:rPr>
          <w:rFonts w:ascii="Verdana" w:eastAsia="Calibri" w:hAnsi="Verdana" w:cs="Times New Roman"/>
          <w:b/>
          <w:sz w:val="18"/>
          <w:szCs w:val="18"/>
          <w:highlight w:val="lightGray"/>
          <w:lang w:val="tr-TR"/>
        </w:rPr>
        <w:t>:</w:t>
      </w:r>
    </w:p>
    <w:p w:rsidR="00ED1025" w:rsidRPr="00364174" w:rsidRDefault="00ED1025" w:rsidP="00ED1025">
      <w:pPr>
        <w:pStyle w:val="ListeParagraf"/>
        <w:rPr>
          <w:rFonts w:ascii="Verdana" w:eastAsia="Calibri" w:hAnsi="Verdana" w:cs="Times New Roman"/>
          <w:sz w:val="18"/>
          <w:szCs w:val="18"/>
          <w:lang w:val="tr-TR"/>
        </w:rPr>
      </w:pPr>
    </w:p>
    <w:p w:rsidR="00ED1025" w:rsidRPr="00ED1025" w:rsidRDefault="00ED1025" w:rsidP="00ED1025">
      <w:pPr>
        <w:pStyle w:val="ListeParagraf"/>
        <w:numPr>
          <w:ilvl w:val="0"/>
          <w:numId w:val="12"/>
        </w:numPr>
        <w:ind w:right="284"/>
        <w:jc w:val="both"/>
        <w:rPr>
          <w:rFonts w:ascii="Verdana" w:eastAsia="Calibri" w:hAnsi="Verdana" w:cs="Times New Roman"/>
          <w:vanish/>
          <w:sz w:val="18"/>
          <w:szCs w:val="18"/>
          <w:lang w:val="tr-TR"/>
        </w:rPr>
      </w:pPr>
    </w:p>
    <w:p w:rsidR="00ED1025" w:rsidRPr="00ED1025" w:rsidRDefault="00ED1025" w:rsidP="00ED1025">
      <w:pPr>
        <w:pStyle w:val="ListeParagraf"/>
        <w:numPr>
          <w:ilvl w:val="0"/>
          <w:numId w:val="12"/>
        </w:numPr>
        <w:ind w:right="284"/>
        <w:jc w:val="both"/>
        <w:rPr>
          <w:rFonts w:ascii="Verdana" w:eastAsia="Calibri" w:hAnsi="Verdana" w:cs="Times New Roman"/>
          <w:vanish/>
          <w:sz w:val="18"/>
          <w:szCs w:val="18"/>
          <w:lang w:val="tr-TR"/>
        </w:rPr>
      </w:pPr>
    </w:p>
    <w:p w:rsidR="00ED1025" w:rsidRPr="00ED1025" w:rsidRDefault="00ED1025" w:rsidP="00ED1025">
      <w:pPr>
        <w:pStyle w:val="ListeParagraf"/>
        <w:numPr>
          <w:ilvl w:val="0"/>
          <w:numId w:val="12"/>
        </w:numPr>
        <w:ind w:right="284"/>
        <w:jc w:val="both"/>
        <w:rPr>
          <w:rFonts w:ascii="Verdana" w:eastAsia="Calibri" w:hAnsi="Verdana" w:cs="Times New Roman"/>
          <w:vanish/>
          <w:sz w:val="18"/>
          <w:szCs w:val="18"/>
          <w:lang w:val="tr-TR"/>
        </w:rPr>
      </w:pPr>
    </w:p>
    <w:p w:rsidR="008538C5" w:rsidRPr="00C260A9" w:rsidRDefault="00540C6B" w:rsidP="00A54833">
      <w:pPr>
        <w:pStyle w:val="ListeParagraf"/>
        <w:numPr>
          <w:ilvl w:val="1"/>
          <w:numId w:val="12"/>
        </w:numPr>
        <w:ind w:right="284"/>
        <w:jc w:val="both"/>
        <w:rPr>
          <w:rFonts w:ascii="Verdana" w:eastAsia="Calibri" w:hAnsi="Verdana" w:cs="Times New Roman"/>
          <w:sz w:val="18"/>
          <w:szCs w:val="18"/>
          <w:lang w:val="tr-TR"/>
        </w:rPr>
      </w:pPr>
      <w:r w:rsidRPr="00A54833">
        <w:rPr>
          <w:rFonts w:ascii="Verdana" w:eastAsia="Calibri" w:hAnsi="Verdana" w:cs="Times New Roman"/>
          <w:b/>
          <w:sz w:val="18"/>
          <w:szCs w:val="18"/>
          <w:lang w:val="tr-TR"/>
        </w:rPr>
        <w:t xml:space="preserve">Tarafların Anlaşması:  </w:t>
      </w:r>
    </w:p>
    <w:p w:rsidR="00C260A9" w:rsidRDefault="00323813" w:rsidP="00C260A9">
      <w:pPr>
        <w:pStyle w:val="ListeParagraf"/>
        <w:numPr>
          <w:ilvl w:val="2"/>
          <w:numId w:val="12"/>
        </w:numPr>
        <w:ind w:right="284"/>
        <w:jc w:val="both"/>
        <w:rPr>
          <w:rFonts w:ascii="Verdana" w:eastAsia="Calibri" w:hAnsi="Verdana" w:cs="Times New Roman"/>
          <w:sz w:val="18"/>
          <w:szCs w:val="18"/>
          <w:lang w:val="tr-TR"/>
        </w:rPr>
      </w:pPr>
      <w:r w:rsidRPr="003773A1">
        <w:rPr>
          <w:rFonts w:ascii="Verdana" w:eastAsia="Calibri" w:hAnsi="Verdana" w:cs="Times New Roman"/>
          <w:sz w:val="18"/>
          <w:szCs w:val="18"/>
          <w:lang w:val="tr-TR"/>
        </w:rPr>
        <w:t>Arabuluculuk faaliy</w:t>
      </w:r>
      <w:r w:rsidR="004137B4">
        <w:rPr>
          <w:rFonts w:ascii="Verdana" w:eastAsia="Calibri" w:hAnsi="Verdana" w:cs="Times New Roman"/>
          <w:sz w:val="18"/>
          <w:szCs w:val="18"/>
          <w:lang w:val="tr-TR"/>
        </w:rPr>
        <w:t>eti sonunda varılan anlaşmanın</w:t>
      </w:r>
      <w:r w:rsidRPr="003773A1">
        <w:rPr>
          <w:rFonts w:ascii="Verdana" w:eastAsia="Calibri" w:hAnsi="Verdana" w:cs="Times New Roman"/>
          <w:sz w:val="18"/>
          <w:szCs w:val="18"/>
          <w:lang w:val="tr-TR"/>
        </w:rPr>
        <w:t xml:space="preserve"> kapsamı taraflarca belirlenir, anlaşma belgesi düzenlenmesi halinde, bu belge taraflar ve arabulucu tarafından imzalanır. Arabuluculuk faaliyeti sonunda anlaşmaya varılması hâlinde, üzerinde anlaşılan hususlar hakkında taraflarca dava açılamaz.</w:t>
      </w:r>
    </w:p>
    <w:p w:rsidR="001411B8" w:rsidRPr="001411B8" w:rsidRDefault="001411B8" w:rsidP="001411B8">
      <w:pPr>
        <w:pStyle w:val="ListeParagraf"/>
        <w:ind w:right="284"/>
        <w:jc w:val="both"/>
        <w:rPr>
          <w:rFonts w:ascii="Verdana" w:eastAsia="Calibri" w:hAnsi="Verdana" w:cs="Times New Roman"/>
          <w:sz w:val="18"/>
          <w:szCs w:val="18"/>
          <w:lang w:val="tr-TR"/>
        </w:rPr>
      </w:pPr>
    </w:p>
    <w:p w:rsidR="00C260A9" w:rsidRPr="003415A0" w:rsidRDefault="00C260A9" w:rsidP="00A54833">
      <w:pPr>
        <w:pStyle w:val="ListeParagraf"/>
        <w:numPr>
          <w:ilvl w:val="1"/>
          <w:numId w:val="12"/>
        </w:numPr>
        <w:ind w:right="284"/>
        <w:jc w:val="both"/>
        <w:rPr>
          <w:rFonts w:ascii="Verdana" w:eastAsia="Calibri" w:hAnsi="Verdana" w:cs="Times New Roman"/>
          <w:sz w:val="18"/>
          <w:szCs w:val="18"/>
          <w:lang w:val="tr-TR"/>
        </w:rPr>
      </w:pPr>
      <w:r w:rsidRPr="00540C6B">
        <w:rPr>
          <w:rFonts w:ascii="Verdana" w:eastAsia="Calibri" w:hAnsi="Verdana" w:cs="Times New Roman"/>
          <w:b/>
          <w:sz w:val="18"/>
          <w:szCs w:val="18"/>
          <w:lang w:val="tr-TR"/>
        </w:rPr>
        <w:t>İcra Edilebilirlik şerhi</w:t>
      </w:r>
      <w:r w:rsidR="00323813">
        <w:rPr>
          <w:rFonts w:ascii="Verdana" w:eastAsia="Calibri" w:hAnsi="Verdana" w:cs="Times New Roman"/>
          <w:b/>
          <w:sz w:val="18"/>
          <w:szCs w:val="18"/>
          <w:lang w:val="tr-TR"/>
        </w:rPr>
        <w:t>:</w:t>
      </w:r>
    </w:p>
    <w:p w:rsidR="003415A0" w:rsidRPr="00D32416" w:rsidRDefault="003415A0" w:rsidP="003415A0">
      <w:pPr>
        <w:pStyle w:val="ListeParagraf"/>
        <w:numPr>
          <w:ilvl w:val="2"/>
          <w:numId w:val="12"/>
        </w:numPr>
        <w:ind w:right="284"/>
        <w:jc w:val="both"/>
        <w:rPr>
          <w:rFonts w:ascii="Verdana" w:eastAsia="Calibri" w:hAnsi="Verdana" w:cs="Times New Roman"/>
          <w:b/>
          <w:sz w:val="18"/>
          <w:szCs w:val="18"/>
          <w:lang w:val="tr-TR"/>
        </w:rPr>
      </w:pPr>
      <w:r w:rsidRPr="00540C6B">
        <w:rPr>
          <w:rFonts w:ascii="Verdana" w:eastAsia="Calibri" w:hAnsi="Verdana" w:cs="Times New Roman"/>
          <w:sz w:val="18"/>
          <w:szCs w:val="18"/>
          <w:lang w:val="tr-TR"/>
        </w:rPr>
        <w:t>Taraflar, arabuluculuk faaliyeti sonunda bir anlaşmaya varılırsa, bu anlaşma belgesinin icra edilebilirliğine ilişkin şerh verilmesini talep edebilirler.</w:t>
      </w:r>
    </w:p>
    <w:p w:rsidR="003415A0" w:rsidRPr="00323813" w:rsidRDefault="003415A0" w:rsidP="003415A0">
      <w:pPr>
        <w:pStyle w:val="ListeParagraf"/>
        <w:numPr>
          <w:ilvl w:val="2"/>
          <w:numId w:val="12"/>
        </w:numPr>
        <w:ind w:right="284"/>
        <w:jc w:val="both"/>
        <w:rPr>
          <w:rFonts w:ascii="Verdana" w:eastAsia="Calibri" w:hAnsi="Verdana" w:cs="Times New Roman"/>
          <w:b/>
          <w:sz w:val="18"/>
          <w:szCs w:val="18"/>
          <w:lang w:val="tr-TR"/>
        </w:rPr>
      </w:pPr>
      <w:r w:rsidRPr="00323813">
        <w:rPr>
          <w:rFonts w:ascii="Verdana" w:eastAsia="Calibri" w:hAnsi="Verdana" w:cs="Times New Roman"/>
          <w:sz w:val="18"/>
          <w:szCs w:val="18"/>
          <w:lang w:val="tr-TR"/>
        </w:rPr>
        <w:t>Dava açılmadan önce arabuluculuğa başvurulmuşsa, anlaşmanın icra edilebilirliğine ilişkin şerh verilmesi, çekişmesiz yargıya ilişkin yetki hükümleri yanında arabulucunun görev yaptığı yer sulh hukuk mahkemesinden talep edilebilir.</w:t>
      </w:r>
    </w:p>
    <w:p w:rsidR="003415A0" w:rsidRPr="00D32416" w:rsidRDefault="003415A0" w:rsidP="003415A0">
      <w:pPr>
        <w:pStyle w:val="ListeParagraf"/>
        <w:numPr>
          <w:ilvl w:val="2"/>
          <w:numId w:val="12"/>
        </w:numPr>
        <w:ind w:right="284"/>
        <w:jc w:val="both"/>
        <w:rPr>
          <w:rFonts w:ascii="Verdana" w:eastAsia="Calibri" w:hAnsi="Verdana" w:cs="Times New Roman"/>
          <w:b/>
          <w:sz w:val="18"/>
          <w:szCs w:val="18"/>
          <w:lang w:val="tr-TR"/>
        </w:rPr>
      </w:pPr>
      <w:r w:rsidRPr="00D32416">
        <w:rPr>
          <w:rFonts w:ascii="Verdana" w:eastAsia="Calibri" w:hAnsi="Verdana" w:cs="Times New Roman"/>
          <w:sz w:val="18"/>
          <w:szCs w:val="18"/>
          <w:lang w:val="tr-TR"/>
        </w:rPr>
        <w:lastRenderedPageBreak/>
        <w:t>Davanın görülmesi sırasında arabuluculuğa başvurulması durumunda anlaşmanın icra edilebilirliğine ilişkin şerh verilmesi, davanın görüldüğü mahkemeden talep edilebilir.</w:t>
      </w:r>
    </w:p>
    <w:p w:rsidR="003415A0" w:rsidRPr="00340A97" w:rsidRDefault="003415A0" w:rsidP="00340A97">
      <w:pPr>
        <w:pStyle w:val="ListeParagraf"/>
        <w:numPr>
          <w:ilvl w:val="2"/>
          <w:numId w:val="12"/>
        </w:numPr>
        <w:ind w:right="284"/>
        <w:jc w:val="both"/>
        <w:rPr>
          <w:rFonts w:ascii="Verdana" w:eastAsia="Calibri" w:hAnsi="Verdana" w:cs="Times New Roman"/>
          <w:b/>
          <w:sz w:val="18"/>
          <w:szCs w:val="18"/>
          <w:lang w:val="tr-TR"/>
        </w:rPr>
      </w:pPr>
      <w:r w:rsidRPr="00D32416">
        <w:rPr>
          <w:rFonts w:ascii="Verdana" w:eastAsia="Calibri" w:hAnsi="Verdana" w:cs="Times New Roman"/>
          <w:sz w:val="18"/>
          <w:szCs w:val="18"/>
          <w:lang w:val="tr-TR"/>
        </w:rPr>
        <w:t>İcra edilebilirlik şerhinin verilmesi, çekişmesiz yargı işidir ve buna ilişkin inceleme dosya üzerinden yapılır. Ancak arabuluculuğa elverişli olan aile hukukuna ilişkin uyuşmazlıklarda inceleme duruşmalı olarak yapılır. Bu incelemenin kapsamı anlaşmanın içeriğinin arabuluculuğa ve cebrî icraya elverişli olup olmadığı hususları ile sınırlıdır. Anlaşma belgesine icra edilebilirlik şerhi verilmesi için mahkemeye yapılacak olan başvuru ile bunun üzerine verilecek kararlara karşı ilgili tarafından istinaf yoluna gidilmesi hâlinde, maktu harç alınır. Taraflar anlaşma belgesini icra edilebilirlik şerhi verdirmeden başka bir resmî işlemde kullanmak isterlerse, damga vergisi de maktu olarak alınır.</w:t>
      </w:r>
    </w:p>
    <w:p w:rsidR="00340A97" w:rsidRPr="00340A97" w:rsidRDefault="00340A97" w:rsidP="00340A97">
      <w:pPr>
        <w:pStyle w:val="ListeParagraf"/>
        <w:ind w:right="284"/>
        <w:jc w:val="both"/>
        <w:rPr>
          <w:rFonts w:ascii="Verdana" w:eastAsia="Calibri" w:hAnsi="Verdana" w:cs="Times New Roman"/>
          <w:b/>
          <w:sz w:val="18"/>
          <w:szCs w:val="18"/>
          <w:lang w:val="tr-TR"/>
        </w:rPr>
      </w:pPr>
    </w:p>
    <w:p w:rsidR="00540C6B" w:rsidRPr="003415A0" w:rsidRDefault="00540C6B" w:rsidP="00540C6B">
      <w:pPr>
        <w:pStyle w:val="ListeParagraf"/>
        <w:numPr>
          <w:ilvl w:val="1"/>
          <w:numId w:val="12"/>
        </w:numPr>
        <w:ind w:right="284"/>
        <w:jc w:val="both"/>
        <w:rPr>
          <w:rFonts w:ascii="Verdana" w:eastAsia="Calibri" w:hAnsi="Verdana" w:cs="Times New Roman"/>
          <w:sz w:val="18"/>
          <w:szCs w:val="18"/>
          <w:lang w:val="tr-TR"/>
        </w:rPr>
      </w:pPr>
      <w:r w:rsidRPr="003415A0">
        <w:rPr>
          <w:rFonts w:ascii="Verdana" w:eastAsia="Calibri" w:hAnsi="Verdana" w:cs="Times New Roman"/>
          <w:b/>
          <w:sz w:val="18"/>
          <w:szCs w:val="18"/>
          <w:lang w:val="tr-TR"/>
        </w:rPr>
        <w:t>İlam Niteliğinde Sayılma</w:t>
      </w:r>
    </w:p>
    <w:p w:rsidR="00C260A9" w:rsidRDefault="00B579E2" w:rsidP="00C260A9">
      <w:pPr>
        <w:pStyle w:val="ListeParagraf"/>
        <w:numPr>
          <w:ilvl w:val="2"/>
          <w:numId w:val="12"/>
        </w:numPr>
        <w:ind w:right="284"/>
        <w:jc w:val="both"/>
        <w:rPr>
          <w:rFonts w:ascii="Verdana" w:eastAsia="Calibri" w:hAnsi="Verdana" w:cs="Times New Roman"/>
          <w:sz w:val="18"/>
          <w:szCs w:val="18"/>
          <w:lang w:val="tr-TR"/>
        </w:rPr>
      </w:pPr>
      <w:r>
        <w:rPr>
          <w:rFonts w:ascii="Verdana" w:eastAsia="Calibri" w:hAnsi="Verdana" w:cs="Times New Roman"/>
          <w:sz w:val="18"/>
          <w:szCs w:val="18"/>
          <w:lang w:val="tr-TR"/>
        </w:rPr>
        <w:t>A</w:t>
      </w:r>
      <w:r w:rsidR="00C260A9" w:rsidRPr="001B459D">
        <w:rPr>
          <w:rFonts w:ascii="Verdana" w:eastAsia="Calibri" w:hAnsi="Verdana" w:cs="Times New Roman"/>
          <w:sz w:val="18"/>
          <w:szCs w:val="18"/>
          <w:lang w:val="tr-TR"/>
        </w:rPr>
        <w:t>rabuluculuk faaliyeti sonunda</w:t>
      </w:r>
      <w:r>
        <w:rPr>
          <w:rFonts w:ascii="Verdana" w:eastAsia="Calibri" w:hAnsi="Verdana" w:cs="Times New Roman"/>
          <w:sz w:val="18"/>
          <w:szCs w:val="18"/>
          <w:lang w:val="tr-TR"/>
        </w:rPr>
        <w:t>,</w:t>
      </w:r>
      <w:r w:rsidR="00C260A9" w:rsidRPr="001B459D">
        <w:rPr>
          <w:rFonts w:ascii="Verdana" w:eastAsia="Calibri" w:hAnsi="Verdana" w:cs="Times New Roman"/>
          <w:sz w:val="18"/>
          <w:szCs w:val="18"/>
          <w:lang w:val="tr-TR"/>
        </w:rPr>
        <w:t xml:space="preserve"> anlaşma b</w:t>
      </w:r>
      <w:r w:rsidR="00B73319">
        <w:rPr>
          <w:rFonts w:ascii="Verdana" w:eastAsia="Calibri" w:hAnsi="Verdana" w:cs="Times New Roman"/>
          <w:sz w:val="18"/>
          <w:szCs w:val="18"/>
          <w:lang w:val="tr-TR"/>
        </w:rPr>
        <w:t>elgesinin icra edilebilirliğine</w:t>
      </w:r>
      <w:r>
        <w:rPr>
          <w:rFonts w:ascii="Verdana" w:eastAsia="Calibri" w:hAnsi="Verdana" w:cs="Times New Roman"/>
          <w:sz w:val="18"/>
          <w:szCs w:val="18"/>
          <w:lang w:val="tr-TR"/>
        </w:rPr>
        <w:t xml:space="preserve"> </w:t>
      </w:r>
      <w:r w:rsidR="00C260A9" w:rsidRPr="001B459D">
        <w:rPr>
          <w:rFonts w:ascii="Verdana" w:eastAsia="Calibri" w:hAnsi="Verdana" w:cs="Times New Roman"/>
          <w:sz w:val="18"/>
          <w:szCs w:val="18"/>
          <w:lang w:val="tr-TR"/>
        </w:rPr>
        <w:t>ilişkin</w:t>
      </w:r>
      <w:r>
        <w:rPr>
          <w:rFonts w:ascii="Verdana" w:eastAsia="Calibri" w:hAnsi="Verdana" w:cs="Times New Roman"/>
          <w:sz w:val="18"/>
          <w:szCs w:val="18"/>
          <w:lang w:val="tr-TR"/>
        </w:rPr>
        <w:t xml:space="preserve"> </w:t>
      </w:r>
      <w:r w:rsidR="00B73319">
        <w:rPr>
          <w:rFonts w:ascii="Verdana" w:eastAsia="Calibri" w:hAnsi="Verdana" w:cs="Times New Roman"/>
          <w:sz w:val="18"/>
          <w:szCs w:val="18"/>
          <w:lang w:val="tr-TR"/>
        </w:rPr>
        <w:t>ilgili Mahkeme tarafından şerh verilmesi halinde, b</w:t>
      </w:r>
      <w:r w:rsidR="00C260A9" w:rsidRPr="001B459D">
        <w:rPr>
          <w:rFonts w:ascii="Verdana" w:eastAsia="Calibri" w:hAnsi="Verdana" w:cs="Times New Roman"/>
          <w:sz w:val="18"/>
          <w:szCs w:val="18"/>
          <w:lang w:val="tr-TR"/>
        </w:rPr>
        <w:t>u şerhi içeren anlaşma, ilam niteliğinde belge sayılır.</w:t>
      </w:r>
    </w:p>
    <w:p w:rsidR="00817CF9" w:rsidRPr="00C65FB5" w:rsidRDefault="00C65FB5" w:rsidP="00817CF9">
      <w:pPr>
        <w:pStyle w:val="ListeParagraf"/>
        <w:numPr>
          <w:ilvl w:val="2"/>
          <w:numId w:val="12"/>
        </w:numPr>
        <w:ind w:right="284"/>
        <w:jc w:val="both"/>
        <w:rPr>
          <w:rFonts w:ascii="Verdana" w:eastAsia="Calibri" w:hAnsi="Verdana" w:cs="Times New Roman"/>
          <w:sz w:val="18"/>
          <w:szCs w:val="18"/>
          <w:lang w:val="tr-TR"/>
        </w:rPr>
      </w:pPr>
      <w:bookmarkStart w:id="0" w:name="_GoBack"/>
      <w:bookmarkEnd w:id="0"/>
      <w:r w:rsidRPr="00C65FB5">
        <w:rPr>
          <w:rFonts w:ascii="Verdana" w:eastAsia="Calibri" w:hAnsi="Verdana" w:cs="Times New Roman"/>
          <w:sz w:val="18"/>
          <w:szCs w:val="18"/>
          <w:lang w:val="tr-TR"/>
        </w:rPr>
        <w:t>Kanunlarda icra edilebilirlik şerhi alınmasının zorunlu kılındığı haller hariç, taraflar ve avukatları ile arabulucunun, ticari uyuşmazlıklar bakımından ise avukatlar ile arabulucunun” birlikte imzaladıkları anlaşma belgesi, icra edilebilirlik şerhi aranmaksızın ilam niteliğinde belge sayılır.</w:t>
      </w:r>
    </w:p>
    <w:p w:rsidR="00540C6B" w:rsidRPr="00641144" w:rsidRDefault="00540C6B" w:rsidP="00B3042D">
      <w:pPr>
        <w:pStyle w:val="ListeParagraf"/>
        <w:numPr>
          <w:ilvl w:val="0"/>
          <w:numId w:val="5"/>
        </w:numPr>
        <w:tabs>
          <w:tab w:val="left" w:pos="6804"/>
        </w:tabs>
        <w:ind w:right="284"/>
        <w:jc w:val="both"/>
        <w:rPr>
          <w:rFonts w:ascii="Verdana" w:eastAsia="Calibri" w:hAnsi="Verdana" w:cs="Times New Roman"/>
          <w:b/>
          <w:sz w:val="18"/>
          <w:szCs w:val="18"/>
          <w:highlight w:val="lightGray"/>
          <w:lang w:val="tr-TR"/>
        </w:rPr>
      </w:pPr>
      <w:r w:rsidRPr="00641144">
        <w:rPr>
          <w:rFonts w:ascii="Verdana" w:eastAsia="Calibri" w:hAnsi="Verdana" w:cs="Times New Roman"/>
          <w:b/>
          <w:sz w:val="18"/>
          <w:szCs w:val="18"/>
          <w:highlight w:val="lightGray"/>
          <w:lang w:val="tr-TR"/>
        </w:rPr>
        <w:t>ARABULUCULUK ÜCRETİ</w:t>
      </w:r>
      <w:r w:rsidR="00641144" w:rsidRPr="00641144">
        <w:rPr>
          <w:rFonts w:ascii="Verdana" w:eastAsia="Calibri" w:hAnsi="Verdana" w:cs="Times New Roman"/>
          <w:b/>
          <w:sz w:val="18"/>
          <w:szCs w:val="18"/>
          <w:highlight w:val="lightGray"/>
          <w:lang w:val="tr-TR"/>
        </w:rPr>
        <w:tab/>
      </w:r>
      <w:r w:rsidRPr="00641144">
        <w:rPr>
          <w:rFonts w:ascii="Verdana" w:eastAsia="Calibri" w:hAnsi="Verdana" w:cs="Times New Roman"/>
          <w:b/>
          <w:sz w:val="18"/>
          <w:szCs w:val="18"/>
          <w:highlight w:val="lightGray"/>
          <w:lang w:val="tr-TR"/>
        </w:rPr>
        <w:t xml:space="preserve">: </w:t>
      </w:r>
    </w:p>
    <w:p w:rsidR="00335874" w:rsidRPr="00335874" w:rsidRDefault="00335874" w:rsidP="00335874">
      <w:pPr>
        <w:pStyle w:val="ListeParagraf"/>
        <w:ind w:right="284"/>
        <w:jc w:val="both"/>
        <w:rPr>
          <w:rFonts w:ascii="Verdana" w:eastAsia="Calibri" w:hAnsi="Verdana" w:cs="Times New Roman"/>
          <w:sz w:val="18"/>
          <w:szCs w:val="18"/>
          <w:lang w:val="tr-TR"/>
        </w:rPr>
      </w:pPr>
    </w:p>
    <w:p w:rsidR="00195802" w:rsidRPr="00817CF9" w:rsidRDefault="00540C6B" w:rsidP="00817CF9">
      <w:pPr>
        <w:pStyle w:val="ListeParagraf"/>
        <w:numPr>
          <w:ilvl w:val="1"/>
          <w:numId w:val="13"/>
        </w:numPr>
        <w:ind w:right="284"/>
        <w:jc w:val="both"/>
        <w:rPr>
          <w:rFonts w:ascii="Verdana" w:eastAsia="Calibri" w:hAnsi="Verdana" w:cs="Times New Roman"/>
          <w:sz w:val="18"/>
          <w:szCs w:val="18"/>
          <w:lang w:val="tr-TR"/>
        </w:rPr>
      </w:pPr>
      <w:r w:rsidRPr="00EC5CF2">
        <w:rPr>
          <w:rFonts w:ascii="Verdana" w:eastAsia="Calibri" w:hAnsi="Verdana" w:cs="Times New Roman"/>
          <w:sz w:val="18"/>
          <w:szCs w:val="18"/>
          <w:lang w:val="tr-TR"/>
        </w:rPr>
        <w:t>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İşe iade talebiyle yapılan görüşmelerde tarafların anlaşmaları durumunda, arabulucuya ödenecek ücretin belirlenmesinde işçiye işe başlatılmaması hâlinde ödenecek tazminat miktarı ile çalıştırılmadığı süre için ödenecek ücret ve diğer haklarının toplamı, Tarifenin İkinci Kısmı uyarınca üzerinde anlaşılan miktar olarak kabul edilir.</w:t>
      </w:r>
      <w:r w:rsidR="00335ABA" w:rsidRPr="00EC5CF2">
        <w:rPr>
          <w:rFonts w:ascii="Verdana" w:eastAsia="Calibri" w:hAnsi="Verdana" w:cs="Times New Roman"/>
          <w:sz w:val="18"/>
          <w:szCs w:val="18"/>
          <w:lang w:val="tr-TR"/>
        </w:rPr>
        <w:t xml:space="preserve"> </w:t>
      </w:r>
    </w:p>
    <w:p w:rsidR="00540C6B" w:rsidRDefault="00540C6B" w:rsidP="00195802">
      <w:pPr>
        <w:ind w:right="284" w:firstLine="708"/>
        <w:contextualSpacing/>
        <w:jc w:val="both"/>
        <w:rPr>
          <w:rFonts w:ascii="Verdana" w:eastAsia="Calibri" w:hAnsi="Verdana" w:cs="Times New Roman"/>
          <w:b/>
          <w:sz w:val="18"/>
          <w:szCs w:val="18"/>
          <w:lang w:val="tr-TR"/>
        </w:rPr>
      </w:pPr>
      <w:r w:rsidRPr="00540C6B">
        <w:rPr>
          <w:rFonts w:ascii="Verdana" w:eastAsia="Calibri" w:hAnsi="Verdana" w:cs="Times New Roman"/>
          <w:b/>
          <w:sz w:val="18"/>
          <w:szCs w:val="18"/>
          <w:lang w:val="tr-TR"/>
        </w:rPr>
        <w:t xml:space="preserve">Adalet Bakanlığı Arabuluculuk Daire Başkanlığının </w:t>
      </w:r>
      <w:proofErr w:type="gramStart"/>
      <w:r>
        <w:rPr>
          <w:rFonts w:ascii="Verdana" w:eastAsia="Calibri" w:hAnsi="Verdana" w:cs="Times New Roman"/>
          <w:b/>
          <w:sz w:val="18"/>
          <w:szCs w:val="18"/>
          <w:lang w:val="tr-TR"/>
        </w:rPr>
        <w:t>…………</w:t>
      </w:r>
      <w:proofErr w:type="gramEnd"/>
      <w:r>
        <w:rPr>
          <w:rFonts w:ascii="Verdana" w:eastAsia="Calibri" w:hAnsi="Verdana" w:cs="Times New Roman"/>
          <w:b/>
          <w:sz w:val="18"/>
          <w:szCs w:val="18"/>
          <w:lang w:val="tr-TR"/>
        </w:rPr>
        <w:t xml:space="preserve"> </w:t>
      </w:r>
      <w:r w:rsidRPr="00540C6B">
        <w:rPr>
          <w:rFonts w:ascii="Verdana" w:eastAsia="Calibri" w:hAnsi="Verdana" w:cs="Times New Roman"/>
          <w:b/>
          <w:sz w:val="18"/>
          <w:szCs w:val="18"/>
          <w:lang w:val="tr-TR"/>
        </w:rPr>
        <w:t xml:space="preserve"> Sicil numaralı Arabulucu Arb</w:t>
      </w:r>
      <w:proofErr w:type="gramStart"/>
      <w:r w:rsidRPr="00540C6B">
        <w:rPr>
          <w:rFonts w:ascii="Verdana" w:eastAsia="Calibri" w:hAnsi="Verdana" w:cs="Times New Roman"/>
          <w:b/>
          <w:sz w:val="18"/>
          <w:szCs w:val="18"/>
          <w:lang w:val="tr-TR"/>
        </w:rPr>
        <w:t>..</w:t>
      </w:r>
      <w:proofErr w:type="gramEnd"/>
      <w:r w:rsidRPr="00540C6B">
        <w:rPr>
          <w:rFonts w:ascii="Verdana" w:eastAsia="Calibri" w:hAnsi="Verdana" w:cs="Times New Roman"/>
          <w:b/>
          <w:sz w:val="18"/>
          <w:szCs w:val="18"/>
          <w:lang w:val="tr-TR"/>
        </w:rPr>
        <w:t xml:space="preserve"> </w:t>
      </w:r>
      <w:proofErr w:type="gramStart"/>
      <w:r>
        <w:rPr>
          <w:rFonts w:ascii="Verdana" w:eastAsia="Calibri" w:hAnsi="Verdana" w:cs="Times New Roman"/>
          <w:b/>
          <w:sz w:val="18"/>
          <w:szCs w:val="18"/>
          <w:lang w:val="tr-TR"/>
        </w:rPr>
        <w:t>……….</w:t>
      </w:r>
      <w:proofErr w:type="gramEnd"/>
      <w:r>
        <w:rPr>
          <w:rFonts w:ascii="Verdana" w:eastAsia="Calibri" w:hAnsi="Verdana" w:cs="Times New Roman"/>
          <w:b/>
          <w:sz w:val="18"/>
          <w:szCs w:val="18"/>
          <w:lang w:val="tr-TR"/>
        </w:rPr>
        <w:t xml:space="preserve"> </w:t>
      </w:r>
      <w:proofErr w:type="gramStart"/>
      <w:r>
        <w:rPr>
          <w:rFonts w:ascii="Verdana" w:eastAsia="Calibri" w:hAnsi="Verdana" w:cs="Times New Roman"/>
          <w:b/>
          <w:sz w:val="18"/>
          <w:szCs w:val="18"/>
          <w:lang w:val="tr-TR"/>
        </w:rPr>
        <w:t>……………</w:t>
      </w:r>
      <w:proofErr w:type="gramEnd"/>
      <w:r>
        <w:rPr>
          <w:rFonts w:ascii="Verdana" w:eastAsia="Calibri" w:hAnsi="Verdana" w:cs="Times New Roman"/>
          <w:b/>
          <w:sz w:val="18"/>
          <w:szCs w:val="18"/>
          <w:lang w:val="tr-TR"/>
        </w:rPr>
        <w:t xml:space="preserve"> </w:t>
      </w:r>
      <w:r w:rsidRPr="00540C6B">
        <w:rPr>
          <w:rFonts w:ascii="Verdana" w:eastAsia="Calibri" w:hAnsi="Verdana" w:cs="Times New Roman"/>
          <w:b/>
          <w:sz w:val="18"/>
          <w:szCs w:val="18"/>
          <w:lang w:val="tr-TR"/>
        </w:rPr>
        <w:t xml:space="preserve"> </w:t>
      </w:r>
      <w:proofErr w:type="gramStart"/>
      <w:r w:rsidRPr="00540C6B">
        <w:rPr>
          <w:rFonts w:ascii="Verdana" w:eastAsia="Calibri" w:hAnsi="Verdana" w:cs="Times New Roman"/>
          <w:b/>
          <w:sz w:val="18"/>
          <w:szCs w:val="18"/>
          <w:lang w:val="tr-TR"/>
        </w:rPr>
        <w:t>tarafından</w:t>
      </w:r>
      <w:proofErr w:type="gramEnd"/>
      <w:r w:rsidRPr="00540C6B">
        <w:rPr>
          <w:rFonts w:ascii="Verdana" w:eastAsia="Calibri" w:hAnsi="Verdana" w:cs="Times New Roman"/>
          <w:b/>
          <w:sz w:val="18"/>
          <w:szCs w:val="18"/>
          <w:lang w:val="tr-TR"/>
        </w:rPr>
        <w:t xml:space="preserve"> yukarıda detaylı bir şekilde yazılı olarak belirtilen ve tarafımıza sözlü olarak anlatılan yukarıdaki tüm hususları okuduk, anladık. Arabuluculuk süreci ile ilgili tarafımıza yeterli ve gerekli bilgilendirmede bulunulmuş, arabuluculuk süreci ile ilgili tüm sor</w:t>
      </w:r>
      <w:r w:rsidR="00817CF9">
        <w:rPr>
          <w:rFonts w:ascii="Verdana" w:eastAsia="Calibri" w:hAnsi="Verdana" w:cs="Times New Roman"/>
          <w:b/>
          <w:sz w:val="18"/>
          <w:szCs w:val="18"/>
          <w:lang w:val="tr-TR"/>
        </w:rPr>
        <w:t>ularımız yanıtlanmıştır. İş bu 5</w:t>
      </w:r>
      <w:r w:rsidRPr="00540C6B">
        <w:rPr>
          <w:rFonts w:ascii="Verdana" w:eastAsia="Calibri" w:hAnsi="Verdana" w:cs="Times New Roman"/>
          <w:b/>
          <w:sz w:val="18"/>
          <w:szCs w:val="18"/>
          <w:lang w:val="tr-TR"/>
        </w:rPr>
        <w:t xml:space="preserve"> sayfadan ibaret tutanak birlikte okunmuş, anlaşılmış ve imza altına alınmıştır. </w:t>
      </w:r>
      <w:r w:rsidR="00E954D9">
        <w:rPr>
          <w:rFonts w:ascii="Verdana" w:eastAsia="Calibri" w:hAnsi="Verdana" w:cs="Times New Roman"/>
          <w:b/>
          <w:sz w:val="18"/>
          <w:szCs w:val="18"/>
          <w:lang w:val="tr-TR"/>
        </w:rPr>
        <w:t xml:space="preserve"> </w:t>
      </w:r>
      <w:proofErr w:type="gramStart"/>
      <w:r w:rsidR="00E954D9">
        <w:rPr>
          <w:rFonts w:ascii="Verdana" w:eastAsia="Calibri" w:hAnsi="Verdana" w:cs="Times New Roman"/>
          <w:b/>
          <w:sz w:val="18"/>
          <w:szCs w:val="18"/>
          <w:lang w:val="tr-TR"/>
        </w:rPr>
        <w:t>….</w:t>
      </w:r>
      <w:proofErr w:type="gramEnd"/>
      <w:r w:rsidR="00E954D9">
        <w:rPr>
          <w:rFonts w:ascii="Verdana" w:eastAsia="Calibri" w:hAnsi="Verdana" w:cs="Times New Roman"/>
          <w:b/>
          <w:sz w:val="18"/>
          <w:szCs w:val="18"/>
          <w:lang w:val="tr-TR"/>
        </w:rPr>
        <w:t xml:space="preserve">/…../…./ </w:t>
      </w:r>
    </w:p>
    <w:p w:rsidR="00E954D9" w:rsidRPr="00540C6B" w:rsidRDefault="00E954D9" w:rsidP="00195802">
      <w:pPr>
        <w:ind w:right="284" w:firstLine="708"/>
        <w:contextualSpacing/>
        <w:jc w:val="both"/>
        <w:rPr>
          <w:rFonts w:ascii="Verdana" w:eastAsia="Calibri" w:hAnsi="Verdana" w:cs="Times New Roman"/>
          <w:b/>
          <w:sz w:val="18"/>
          <w:szCs w:val="18"/>
          <w:lang w:val="tr-TR"/>
        </w:rPr>
      </w:pPr>
    </w:p>
    <w:p w:rsidR="00E954D9" w:rsidRDefault="00E954D9">
      <w:r>
        <w:t xml:space="preserve">ARABULUCU                                      </w:t>
      </w:r>
      <w:r w:rsidR="00EB3D55">
        <w:t>BAÇVURAN TARAF (1)</w:t>
      </w:r>
      <w:r>
        <w:t xml:space="preserve">                </w:t>
      </w:r>
      <w:r w:rsidR="00EB3D55">
        <w:t xml:space="preserve">                        DİĞER TARAF (2)</w:t>
      </w:r>
    </w:p>
    <w:p w:rsidR="00E954D9" w:rsidRDefault="00E954D9"/>
    <w:sectPr w:rsidR="00E954D9" w:rsidSect="005D2BF3">
      <w:headerReference w:type="default" r:id="rId9"/>
      <w:footerReference w:type="default" r:id="rId10"/>
      <w:pgSz w:w="11906" w:h="16838" w:code="9"/>
      <w:pgMar w:top="851" w:right="849" w:bottom="1015" w:left="1021" w:header="1134" w:footer="907" w:gutter="113"/>
      <w:pgBorders>
        <w:left w:val="single" w:sz="12" w:space="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20" w:rsidRDefault="00696C20">
      <w:pPr>
        <w:spacing w:after="0" w:line="240" w:lineRule="auto"/>
      </w:pPr>
      <w:r>
        <w:separator/>
      </w:r>
    </w:p>
  </w:endnote>
  <w:endnote w:type="continuationSeparator" w:id="0">
    <w:p w:rsidR="00696C20" w:rsidRDefault="0069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0B" w:rsidRDefault="0050020B">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tr-TR"/>
      </w:rPr>
      <w:t xml:space="preserve">Sayfa </w:t>
    </w:r>
    <w:r>
      <w:rPr>
        <w:rFonts w:eastAsiaTheme="minorEastAsia"/>
      </w:rPr>
      <w:fldChar w:fldCharType="begin"/>
    </w:r>
    <w:r>
      <w:instrText>PAGE   \* MERGEFORMAT</w:instrText>
    </w:r>
    <w:r>
      <w:rPr>
        <w:rFonts w:eastAsiaTheme="minorEastAsia"/>
      </w:rPr>
      <w:fldChar w:fldCharType="separate"/>
    </w:r>
    <w:r w:rsidR="00C65FB5" w:rsidRPr="00C65FB5">
      <w:rPr>
        <w:rFonts w:asciiTheme="majorHAnsi" w:eastAsiaTheme="majorEastAsia" w:hAnsiTheme="majorHAnsi" w:cstheme="majorBidi"/>
        <w:noProof/>
        <w:lang w:val="tr-TR"/>
      </w:rPr>
      <w:t>5</w:t>
    </w:r>
    <w:r>
      <w:rPr>
        <w:rFonts w:asciiTheme="majorHAnsi" w:eastAsiaTheme="majorEastAsia" w:hAnsiTheme="majorHAnsi" w:cstheme="majorBidi"/>
      </w:rPr>
      <w:fldChar w:fldCharType="end"/>
    </w:r>
  </w:p>
  <w:p w:rsidR="006B6B78" w:rsidRPr="006B4D8A" w:rsidRDefault="00416441" w:rsidP="006B4D8A">
    <w:pPr>
      <w:pStyle w:val="AralkYok"/>
      <w:jc w:val="center"/>
      <w:rPr>
        <w:rFonts w:ascii="Trebuchet MS" w:hAnsi="Trebuchet MS"/>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20" w:rsidRDefault="00696C20">
      <w:pPr>
        <w:spacing w:after="0" w:line="240" w:lineRule="auto"/>
      </w:pPr>
      <w:r>
        <w:separator/>
      </w:r>
    </w:p>
  </w:footnote>
  <w:footnote w:type="continuationSeparator" w:id="0">
    <w:p w:rsidR="00696C20" w:rsidRDefault="00696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BE" w:rsidRPr="00FB09BC" w:rsidRDefault="00416441" w:rsidP="00120F5B">
    <w:pPr>
      <w:pStyle w:val="Balk2"/>
      <w:jc w:val="center"/>
      <w:rPr>
        <w:rFonts w:ascii="Trebuchet MS" w:hAnsi="Trebuchet MS"/>
        <w:i/>
        <w:color w:val="000080"/>
        <w:sz w:val="18"/>
        <w:szCs w:val="18"/>
      </w:rPr>
    </w:pPr>
    <w:r>
      <w:rPr>
        <w:rFonts w:ascii="Algerian" w:hAnsi="Algerian"/>
        <w:i/>
        <w:noProof/>
        <w:color w:val="00206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5pt;margin-top:-2.5pt;width:57.6pt;height:42.35pt;z-index:251659264">
          <v:imagedata r:id="rId1" o:title=""/>
          <w10:wrap type="topAndBottom"/>
        </v:shape>
        <o:OLEObject Type="Embed" ProgID="MS_ClipArt_Gallery" ShapeID="_x0000_s2049" DrawAspect="Content" ObjectID="_1809201576" r:id="rId2"/>
      </w:pict>
    </w:r>
  </w:p>
  <w:p w:rsidR="006B6B78" w:rsidRPr="00FB09BC" w:rsidRDefault="00641144" w:rsidP="00D91908">
    <w:pPr>
      <w:pStyle w:val="AralkYok"/>
      <w:rPr>
        <w:rFonts w:ascii="Trebuchet MS" w:hAnsi="Trebuchet MS"/>
        <w:b/>
        <w:color w:val="002060"/>
        <w:sz w:val="18"/>
        <w:szCs w:val="18"/>
      </w:rPr>
    </w:pPr>
    <w:r>
      <w:rPr>
        <w:rFonts w:ascii="Trebuchet MS" w:hAnsi="Trebuchet MS"/>
        <w:b/>
        <w:color w:val="002060"/>
        <w:sz w:val="18"/>
        <w:szCs w:val="18"/>
      </w:rPr>
      <w:t xml:space="preserve">                                                                                </w:t>
    </w:r>
  </w:p>
  <w:p w:rsidR="007733D8" w:rsidRDefault="00641144" w:rsidP="00120F5B">
    <w:pPr>
      <w:pStyle w:val="stbilgi"/>
      <w:pBdr>
        <w:bottom w:val="single" w:sz="12" w:space="1" w:color="auto"/>
      </w:pBdr>
      <w:rPr>
        <w:rStyle w:val="Gl"/>
        <w:sz w:val="24"/>
        <w:szCs w:val="24"/>
      </w:rPr>
    </w:pPr>
    <w:r>
      <w:rPr>
        <w:rStyle w:val="Gl"/>
        <w:sz w:val="24"/>
        <w:szCs w:val="24"/>
      </w:rPr>
      <w:t xml:space="preserve">    </w:t>
    </w:r>
  </w:p>
  <w:p w:rsidR="006B6B78" w:rsidRPr="00FB09BC" w:rsidRDefault="007733D8" w:rsidP="00120F5B">
    <w:pPr>
      <w:pStyle w:val="stbilgi"/>
      <w:pBdr>
        <w:bottom w:val="single" w:sz="12" w:space="1" w:color="auto"/>
      </w:pBdr>
      <w:rPr>
        <w:rFonts w:ascii="Trebuchet MS" w:hAnsi="Trebuchet MS"/>
        <w:color w:val="000080"/>
        <w:sz w:val="18"/>
        <w:szCs w:val="18"/>
      </w:rPr>
    </w:pPr>
    <w:r>
      <w:rPr>
        <w:rStyle w:val="Gl"/>
        <w:sz w:val="24"/>
        <w:szCs w:val="24"/>
      </w:rPr>
      <w:t xml:space="preserve">   </w:t>
    </w:r>
    <w:r w:rsidR="00641144" w:rsidRPr="00D91908">
      <w:rPr>
        <w:rStyle w:val="Gl"/>
        <w:rFonts w:ascii="Algerian" w:hAnsi="Algerian"/>
        <w:sz w:val="24"/>
        <w:szCs w:val="24"/>
      </w:rPr>
      <w:t>TAHAB</w:t>
    </w:r>
    <w:r w:rsidR="00641144">
      <w:rPr>
        <w:rStyle w:val="Gl"/>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4758"/>
    <w:multiLevelType w:val="hybridMultilevel"/>
    <w:tmpl w:val="381E422A"/>
    <w:lvl w:ilvl="0" w:tplc="2FF6548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322FBE"/>
    <w:multiLevelType w:val="hybridMultilevel"/>
    <w:tmpl w:val="3DB6E26C"/>
    <w:lvl w:ilvl="0" w:tplc="59F204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E9E69DA"/>
    <w:multiLevelType w:val="hybridMultilevel"/>
    <w:tmpl w:val="63EE2800"/>
    <w:lvl w:ilvl="0" w:tplc="C4B0299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42268B2"/>
    <w:multiLevelType w:val="multilevel"/>
    <w:tmpl w:val="97D07F8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61B15C6"/>
    <w:multiLevelType w:val="multilevel"/>
    <w:tmpl w:val="7A3A8E94"/>
    <w:lvl w:ilvl="0">
      <w:start w:val="6"/>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3082247B"/>
    <w:multiLevelType w:val="multilevel"/>
    <w:tmpl w:val="59766D2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59D08D0"/>
    <w:multiLevelType w:val="hybridMultilevel"/>
    <w:tmpl w:val="DFB0DEE2"/>
    <w:lvl w:ilvl="0" w:tplc="8E7240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B6073C"/>
    <w:multiLevelType w:val="hybridMultilevel"/>
    <w:tmpl w:val="D4BA66A2"/>
    <w:lvl w:ilvl="0" w:tplc="C040F7B0">
      <w:start w:val="1"/>
      <w:numFmt w:val="lowerLetter"/>
      <w:lvlText w:val="%1)"/>
      <w:lvlJc w:val="left"/>
      <w:pPr>
        <w:ind w:left="2124" w:hanging="360"/>
      </w:pPr>
      <w:rPr>
        <w:rFonts w:hint="default"/>
      </w:rPr>
    </w:lvl>
    <w:lvl w:ilvl="1" w:tplc="041F0019" w:tentative="1">
      <w:start w:val="1"/>
      <w:numFmt w:val="lowerLetter"/>
      <w:lvlText w:val="%2."/>
      <w:lvlJc w:val="left"/>
      <w:pPr>
        <w:ind w:left="2844" w:hanging="360"/>
      </w:pPr>
    </w:lvl>
    <w:lvl w:ilvl="2" w:tplc="041F001B" w:tentative="1">
      <w:start w:val="1"/>
      <w:numFmt w:val="lowerRoman"/>
      <w:lvlText w:val="%3."/>
      <w:lvlJc w:val="right"/>
      <w:pPr>
        <w:ind w:left="3564" w:hanging="180"/>
      </w:pPr>
    </w:lvl>
    <w:lvl w:ilvl="3" w:tplc="041F000F" w:tentative="1">
      <w:start w:val="1"/>
      <w:numFmt w:val="decimal"/>
      <w:lvlText w:val="%4."/>
      <w:lvlJc w:val="left"/>
      <w:pPr>
        <w:ind w:left="4284" w:hanging="360"/>
      </w:pPr>
    </w:lvl>
    <w:lvl w:ilvl="4" w:tplc="041F0019" w:tentative="1">
      <w:start w:val="1"/>
      <w:numFmt w:val="lowerLetter"/>
      <w:lvlText w:val="%5."/>
      <w:lvlJc w:val="left"/>
      <w:pPr>
        <w:ind w:left="5004" w:hanging="360"/>
      </w:pPr>
    </w:lvl>
    <w:lvl w:ilvl="5" w:tplc="041F001B" w:tentative="1">
      <w:start w:val="1"/>
      <w:numFmt w:val="lowerRoman"/>
      <w:lvlText w:val="%6."/>
      <w:lvlJc w:val="right"/>
      <w:pPr>
        <w:ind w:left="5724" w:hanging="180"/>
      </w:pPr>
    </w:lvl>
    <w:lvl w:ilvl="6" w:tplc="041F000F" w:tentative="1">
      <w:start w:val="1"/>
      <w:numFmt w:val="decimal"/>
      <w:lvlText w:val="%7."/>
      <w:lvlJc w:val="left"/>
      <w:pPr>
        <w:ind w:left="6444" w:hanging="360"/>
      </w:pPr>
    </w:lvl>
    <w:lvl w:ilvl="7" w:tplc="041F0019" w:tentative="1">
      <w:start w:val="1"/>
      <w:numFmt w:val="lowerLetter"/>
      <w:lvlText w:val="%8."/>
      <w:lvlJc w:val="left"/>
      <w:pPr>
        <w:ind w:left="7164" w:hanging="360"/>
      </w:pPr>
    </w:lvl>
    <w:lvl w:ilvl="8" w:tplc="041F001B" w:tentative="1">
      <w:start w:val="1"/>
      <w:numFmt w:val="lowerRoman"/>
      <w:lvlText w:val="%9."/>
      <w:lvlJc w:val="right"/>
      <w:pPr>
        <w:ind w:left="7884" w:hanging="180"/>
      </w:pPr>
    </w:lvl>
  </w:abstractNum>
  <w:abstractNum w:abstractNumId="8">
    <w:nsid w:val="41215504"/>
    <w:multiLevelType w:val="hybridMultilevel"/>
    <w:tmpl w:val="C7A8020A"/>
    <w:lvl w:ilvl="0" w:tplc="362EE26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394D7A"/>
    <w:multiLevelType w:val="multilevel"/>
    <w:tmpl w:val="88884D2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AFD2F48"/>
    <w:multiLevelType w:val="hybridMultilevel"/>
    <w:tmpl w:val="DE8C45F6"/>
    <w:lvl w:ilvl="0" w:tplc="592A3532">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5AB668C"/>
    <w:multiLevelType w:val="multilevel"/>
    <w:tmpl w:val="E098A6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8470FBF"/>
    <w:multiLevelType w:val="multilevel"/>
    <w:tmpl w:val="88884D2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10"/>
  </w:num>
  <w:num w:numId="4">
    <w:abstractNumId w:val="7"/>
  </w:num>
  <w:num w:numId="5">
    <w:abstractNumId w:val="0"/>
  </w:num>
  <w:num w:numId="6">
    <w:abstractNumId w:val="3"/>
  </w:num>
  <w:num w:numId="7">
    <w:abstractNumId w:val="5"/>
  </w:num>
  <w:num w:numId="8">
    <w:abstractNumId w:val="8"/>
  </w:num>
  <w:num w:numId="9">
    <w:abstractNumId w:val="6"/>
  </w:num>
  <w:num w:numId="10">
    <w:abstractNumId w:val="12"/>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6B"/>
    <w:rsid w:val="0008721B"/>
    <w:rsid w:val="00090E88"/>
    <w:rsid w:val="000D558C"/>
    <w:rsid w:val="000E61D7"/>
    <w:rsid w:val="00114B99"/>
    <w:rsid w:val="00133887"/>
    <w:rsid w:val="001411B8"/>
    <w:rsid w:val="00142327"/>
    <w:rsid w:val="001446A0"/>
    <w:rsid w:val="001455F6"/>
    <w:rsid w:val="00147F42"/>
    <w:rsid w:val="00195802"/>
    <w:rsid w:val="001B459D"/>
    <w:rsid w:val="001D6629"/>
    <w:rsid w:val="00201ECE"/>
    <w:rsid w:val="002242C0"/>
    <w:rsid w:val="00231D85"/>
    <w:rsid w:val="00233203"/>
    <w:rsid w:val="00244E12"/>
    <w:rsid w:val="00255148"/>
    <w:rsid w:val="00274F12"/>
    <w:rsid w:val="00314B8B"/>
    <w:rsid w:val="00323813"/>
    <w:rsid w:val="00335874"/>
    <w:rsid w:val="00335ABA"/>
    <w:rsid w:val="00340A97"/>
    <w:rsid w:val="003415A0"/>
    <w:rsid w:val="00345F17"/>
    <w:rsid w:val="00364174"/>
    <w:rsid w:val="003773A1"/>
    <w:rsid w:val="0038681D"/>
    <w:rsid w:val="003A132A"/>
    <w:rsid w:val="003B195A"/>
    <w:rsid w:val="003F51D7"/>
    <w:rsid w:val="004137B4"/>
    <w:rsid w:val="00416441"/>
    <w:rsid w:val="00455A1B"/>
    <w:rsid w:val="004725C8"/>
    <w:rsid w:val="0050020B"/>
    <w:rsid w:val="0051394B"/>
    <w:rsid w:val="00540C6B"/>
    <w:rsid w:val="0055675F"/>
    <w:rsid w:val="00587455"/>
    <w:rsid w:val="006361C5"/>
    <w:rsid w:val="00641144"/>
    <w:rsid w:val="00696182"/>
    <w:rsid w:val="00696C20"/>
    <w:rsid w:val="006A2BE7"/>
    <w:rsid w:val="006A4896"/>
    <w:rsid w:val="006A66BC"/>
    <w:rsid w:val="00704BDA"/>
    <w:rsid w:val="00733812"/>
    <w:rsid w:val="0074747C"/>
    <w:rsid w:val="00757A92"/>
    <w:rsid w:val="007715D0"/>
    <w:rsid w:val="007733D8"/>
    <w:rsid w:val="008132C0"/>
    <w:rsid w:val="00814DE9"/>
    <w:rsid w:val="00817CF9"/>
    <w:rsid w:val="008538C5"/>
    <w:rsid w:val="00861BCD"/>
    <w:rsid w:val="008849CD"/>
    <w:rsid w:val="008A0537"/>
    <w:rsid w:val="008A2004"/>
    <w:rsid w:val="008A7AD1"/>
    <w:rsid w:val="008D1B3A"/>
    <w:rsid w:val="008E13F3"/>
    <w:rsid w:val="008F3539"/>
    <w:rsid w:val="009008B8"/>
    <w:rsid w:val="009260B4"/>
    <w:rsid w:val="00931916"/>
    <w:rsid w:val="009D3C43"/>
    <w:rsid w:val="009F12D6"/>
    <w:rsid w:val="00A32E89"/>
    <w:rsid w:val="00A47159"/>
    <w:rsid w:val="00A54833"/>
    <w:rsid w:val="00AB69CA"/>
    <w:rsid w:val="00AC75C4"/>
    <w:rsid w:val="00B10C62"/>
    <w:rsid w:val="00B30126"/>
    <w:rsid w:val="00B3042D"/>
    <w:rsid w:val="00B37862"/>
    <w:rsid w:val="00B520C6"/>
    <w:rsid w:val="00B579E2"/>
    <w:rsid w:val="00B73319"/>
    <w:rsid w:val="00B965F9"/>
    <w:rsid w:val="00BB4203"/>
    <w:rsid w:val="00C121B3"/>
    <w:rsid w:val="00C260A9"/>
    <w:rsid w:val="00C34B23"/>
    <w:rsid w:val="00C501E8"/>
    <w:rsid w:val="00C65FB5"/>
    <w:rsid w:val="00C66BF9"/>
    <w:rsid w:val="00C723CA"/>
    <w:rsid w:val="00CA7C8F"/>
    <w:rsid w:val="00CB1311"/>
    <w:rsid w:val="00D14F08"/>
    <w:rsid w:val="00D32416"/>
    <w:rsid w:val="00D523F4"/>
    <w:rsid w:val="00D636E4"/>
    <w:rsid w:val="00D85DC8"/>
    <w:rsid w:val="00DB4637"/>
    <w:rsid w:val="00DE708A"/>
    <w:rsid w:val="00DF049F"/>
    <w:rsid w:val="00E13018"/>
    <w:rsid w:val="00E20849"/>
    <w:rsid w:val="00E22CC7"/>
    <w:rsid w:val="00E3293D"/>
    <w:rsid w:val="00E358BD"/>
    <w:rsid w:val="00E377DD"/>
    <w:rsid w:val="00E828F0"/>
    <w:rsid w:val="00E954D9"/>
    <w:rsid w:val="00EB3D55"/>
    <w:rsid w:val="00EB448B"/>
    <w:rsid w:val="00EB7F37"/>
    <w:rsid w:val="00EC5CF2"/>
    <w:rsid w:val="00ED1025"/>
    <w:rsid w:val="00ED18AA"/>
    <w:rsid w:val="00EF368A"/>
    <w:rsid w:val="00F070C8"/>
    <w:rsid w:val="00F73CCA"/>
    <w:rsid w:val="00FF1344"/>
    <w:rsid w:val="00FF62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2">
    <w:name w:val="heading 2"/>
    <w:basedOn w:val="Normal"/>
    <w:next w:val="Normal"/>
    <w:link w:val="Balk2Char"/>
    <w:uiPriority w:val="9"/>
    <w:semiHidden/>
    <w:unhideWhenUsed/>
    <w:qFormat/>
    <w:rsid w:val="00540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540C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40C6B"/>
    <w:rPr>
      <w:rFonts w:asciiTheme="majorHAnsi" w:eastAsiaTheme="majorEastAsia" w:hAnsiTheme="majorHAnsi" w:cstheme="majorBidi"/>
      <w:b/>
      <w:bCs/>
      <w:color w:val="4F81BD" w:themeColor="accent1"/>
      <w:sz w:val="26"/>
      <w:szCs w:val="26"/>
      <w:lang w:val="en-US"/>
    </w:rPr>
  </w:style>
  <w:style w:type="character" w:customStyle="1" w:styleId="Balk4Char">
    <w:name w:val="Başlık 4 Char"/>
    <w:basedOn w:val="VarsaylanParagrafYazTipi"/>
    <w:link w:val="Balk4"/>
    <w:uiPriority w:val="9"/>
    <w:semiHidden/>
    <w:rsid w:val="00540C6B"/>
    <w:rPr>
      <w:rFonts w:asciiTheme="majorHAnsi" w:eastAsiaTheme="majorEastAsia" w:hAnsiTheme="majorHAnsi" w:cstheme="majorBidi"/>
      <w:b/>
      <w:bCs/>
      <w:i/>
      <w:iCs/>
      <w:color w:val="4F81BD" w:themeColor="accent1"/>
      <w:lang w:val="en-US"/>
    </w:rPr>
  </w:style>
  <w:style w:type="paragraph" w:styleId="stbilgi">
    <w:name w:val="header"/>
    <w:basedOn w:val="Normal"/>
    <w:link w:val="stbilgiChar"/>
    <w:uiPriority w:val="99"/>
    <w:unhideWhenUsed/>
    <w:rsid w:val="00540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C6B"/>
    <w:rPr>
      <w:lang w:val="en-US"/>
    </w:rPr>
  </w:style>
  <w:style w:type="paragraph" w:styleId="AralkYok">
    <w:name w:val="No Spacing"/>
    <w:uiPriority w:val="1"/>
    <w:qFormat/>
    <w:rsid w:val="00540C6B"/>
    <w:pPr>
      <w:spacing w:after="0" w:line="240" w:lineRule="auto"/>
    </w:pPr>
    <w:rPr>
      <w:rFonts w:ascii="Calibri" w:eastAsia="Calibri" w:hAnsi="Calibri" w:cs="Times New Roman"/>
    </w:rPr>
  </w:style>
  <w:style w:type="character" w:styleId="Gl">
    <w:name w:val="Strong"/>
    <w:qFormat/>
    <w:rsid w:val="00540C6B"/>
    <w:rPr>
      <w:b/>
      <w:bCs/>
    </w:rPr>
  </w:style>
  <w:style w:type="paragraph" w:styleId="ListeParagraf">
    <w:name w:val="List Paragraph"/>
    <w:basedOn w:val="Normal"/>
    <w:uiPriority w:val="34"/>
    <w:qFormat/>
    <w:rsid w:val="002242C0"/>
    <w:pPr>
      <w:ind w:left="720"/>
      <w:contextualSpacing/>
    </w:pPr>
  </w:style>
  <w:style w:type="paragraph" w:styleId="Altbilgi">
    <w:name w:val="footer"/>
    <w:basedOn w:val="Normal"/>
    <w:link w:val="AltbilgiChar"/>
    <w:uiPriority w:val="99"/>
    <w:unhideWhenUsed/>
    <w:rsid w:val="005002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20B"/>
    <w:rPr>
      <w:lang w:val="en-US"/>
    </w:rPr>
  </w:style>
  <w:style w:type="paragraph" w:styleId="BalonMetni">
    <w:name w:val="Balloon Text"/>
    <w:basedOn w:val="Normal"/>
    <w:link w:val="BalonMetniChar"/>
    <w:uiPriority w:val="99"/>
    <w:semiHidden/>
    <w:unhideWhenUsed/>
    <w:rsid w:val="005002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20B"/>
    <w:rPr>
      <w:rFonts w:ascii="Tahoma" w:hAnsi="Tahoma" w:cs="Tahoma"/>
      <w:sz w:val="16"/>
      <w:szCs w:val="16"/>
      <w:lang w:val="en-US"/>
    </w:rPr>
  </w:style>
  <w:style w:type="paragraph" w:styleId="GvdeMetni">
    <w:name w:val="Body Text"/>
    <w:basedOn w:val="Normal"/>
    <w:link w:val="GvdeMetniChar"/>
    <w:uiPriority w:val="1"/>
    <w:qFormat/>
    <w:rsid w:val="00CA7C8F"/>
    <w:pPr>
      <w:widowControl w:val="0"/>
      <w:autoSpaceDE w:val="0"/>
      <w:autoSpaceDN w:val="0"/>
      <w:spacing w:before="120" w:after="0" w:line="240" w:lineRule="auto"/>
      <w:ind w:left="116"/>
      <w:jc w:val="both"/>
    </w:pPr>
    <w:rPr>
      <w:rFonts w:ascii="Times New Roman" w:eastAsia="Times New Roman" w:hAnsi="Times New Roman" w:cs="Times New Roman"/>
      <w:sz w:val="24"/>
      <w:szCs w:val="24"/>
      <w:lang w:bidi="en-US"/>
    </w:rPr>
  </w:style>
  <w:style w:type="character" w:customStyle="1" w:styleId="GvdeMetniChar">
    <w:name w:val="Gövde Metni Char"/>
    <w:basedOn w:val="VarsaylanParagrafYazTipi"/>
    <w:link w:val="GvdeMetni"/>
    <w:uiPriority w:val="1"/>
    <w:rsid w:val="00CA7C8F"/>
    <w:rPr>
      <w:rFonts w:ascii="Times New Roman" w:eastAsia="Times New Roman" w:hAnsi="Times New Roman"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2">
    <w:name w:val="heading 2"/>
    <w:basedOn w:val="Normal"/>
    <w:next w:val="Normal"/>
    <w:link w:val="Balk2Char"/>
    <w:uiPriority w:val="9"/>
    <w:semiHidden/>
    <w:unhideWhenUsed/>
    <w:qFormat/>
    <w:rsid w:val="00540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540C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40C6B"/>
    <w:rPr>
      <w:rFonts w:asciiTheme="majorHAnsi" w:eastAsiaTheme="majorEastAsia" w:hAnsiTheme="majorHAnsi" w:cstheme="majorBidi"/>
      <w:b/>
      <w:bCs/>
      <w:color w:val="4F81BD" w:themeColor="accent1"/>
      <w:sz w:val="26"/>
      <w:szCs w:val="26"/>
      <w:lang w:val="en-US"/>
    </w:rPr>
  </w:style>
  <w:style w:type="character" w:customStyle="1" w:styleId="Balk4Char">
    <w:name w:val="Başlık 4 Char"/>
    <w:basedOn w:val="VarsaylanParagrafYazTipi"/>
    <w:link w:val="Balk4"/>
    <w:uiPriority w:val="9"/>
    <w:semiHidden/>
    <w:rsid w:val="00540C6B"/>
    <w:rPr>
      <w:rFonts w:asciiTheme="majorHAnsi" w:eastAsiaTheme="majorEastAsia" w:hAnsiTheme="majorHAnsi" w:cstheme="majorBidi"/>
      <w:b/>
      <w:bCs/>
      <w:i/>
      <w:iCs/>
      <w:color w:val="4F81BD" w:themeColor="accent1"/>
      <w:lang w:val="en-US"/>
    </w:rPr>
  </w:style>
  <w:style w:type="paragraph" w:styleId="stbilgi">
    <w:name w:val="header"/>
    <w:basedOn w:val="Normal"/>
    <w:link w:val="stbilgiChar"/>
    <w:uiPriority w:val="99"/>
    <w:unhideWhenUsed/>
    <w:rsid w:val="00540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C6B"/>
    <w:rPr>
      <w:lang w:val="en-US"/>
    </w:rPr>
  </w:style>
  <w:style w:type="paragraph" w:styleId="AralkYok">
    <w:name w:val="No Spacing"/>
    <w:uiPriority w:val="1"/>
    <w:qFormat/>
    <w:rsid w:val="00540C6B"/>
    <w:pPr>
      <w:spacing w:after="0" w:line="240" w:lineRule="auto"/>
    </w:pPr>
    <w:rPr>
      <w:rFonts w:ascii="Calibri" w:eastAsia="Calibri" w:hAnsi="Calibri" w:cs="Times New Roman"/>
    </w:rPr>
  </w:style>
  <w:style w:type="character" w:styleId="Gl">
    <w:name w:val="Strong"/>
    <w:qFormat/>
    <w:rsid w:val="00540C6B"/>
    <w:rPr>
      <w:b/>
      <w:bCs/>
    </w:rPr>
  </w:style>
  <w:style w:type="paragraph" w:styleId="ListeParagraf">
    <w:name w:val="List Paragraph"/>
    <w:basedOn w:val="Normal"/>
    <w:uiPriority w:val="34"/>
    <w:qFormat/>
    <w:rsid w:val="002242C0"/>
    <w:pPr>
      <w:ind w:left="720"/>
      <w:contextualSpacing/>
    </w:pPr>
  </w:style>
  <w:style w:type="paragraph" w:styleId="Altbilgi">
    <w:name w:val="footer"/>
    <w:basedOn w:val="Normal"/>
    <w:link w:val="AltbilgiChar"/>
    <w:uiPriority w:val="99"/>
    <w:unhideWhenUsed/>
    <w:rsid w:val="005002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20B"/>
    <w:rPr>
      <w:lang w:val="en-US"/>
    </w:rPr>
  </w:style>
  <w:style w:type="paragraph" w:styleId="BalonMetni">
    <w:name w:val="Balloon Text"/>
    <w:basedOn w:val="Normal"/>
    <w:link w:val="BalonMetniChar"/>
    <w:uiPriority w:val="99"/>
    <w:semiHidden/>
    <w:unhideWhenUsed/>
    <w:rsid w:val="005002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20B"/>
    <w:rPr>
      <w:rFonts w:ascii="Tahoma" w:hAnsi="Tahoma" w:cs="Tahoma"/>
      <w:sz w:val="16"/>
      <w:szCs w:val="16"/>
      <w:lang w:val="en-US"/>
    </w:rPr>
  </w:style>
  <w:style w:type="paragraph" w:styleId="GvdeMetni">
    <w:name w:val="Body Text"/>
    <w:basedOn w:val="Normal"/>
    <w:link w:val="GvdeMetniChar"/>
    <w:uiPriority w:val="1"/>
    <w:qFormat/>
    <w:rsid w:val="00CA7C8F"/>
    <w:pPr>
      <w:widowControl w:val="0"/>
      <w:autoSpaceDE w:val="0"/>
      <w:autoSpaceDN w:val="0"/>
      <w:spacing w:before="120" w:after="0" w:line="240" w:lineRule="auto"/>
      <w:ind w:left="116"/>
      <w:jc w:val="both"/>
    </w:pPr>
    <w:rPr>
      <w:rFonts w:ascii="Times New Roman" w:eastAsia="Times New Roman" w:hAnsi="Times New Roman" w:cs="Times New Roman"/>
      <w:sz w:val="24"/>
      <w:szCs w:val="24"/>
      <w:lang w:bidi="en-US"/>
    </w:rPr>
  </w:style>
  <w:style w:type="character" w:customStyle="1" w:styleId="GvdeMetniChar">
    <w:name w:val="Gövde Metni Char"/>
    <w:basedOn w:val="VarsaylanParagrafYazTipi"/>
    <w:link w:val="GvdeMetni"/>
    <w:uiPriority w:val="1"/>
    <w:rsid w:val="00CA7C8F"/>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2553</Words>
  <Characters>14553</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17072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TEKHUKUK</cp:lastModifiedBy>
  <cp:revision>8</cp:revision>
  <cp:lastPrinted>2019-02-13T09:51:00Z</cp:lastPrinted>
  <dcterms:created xsi:type="dcterms:W3CDTF">2019-03-27T10:33:00Z</dcterms:created>
  <dcterms:modified xsi:type="dcterms:W3CDTF">2025-05-19T20:13:00Z</dcterms:modified>
</cp:coreProperties>
</file>