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E4" w:rsidRPr="006B53FB" w:rsidRDefault="00DB58FF" w:rsidP="003D46E4">
      <w:pPr>
        <w:pStyle w:val="AralkYok"/>
        <w:rPr>
          <w:sz w:val="17"/>
          <w:szCs w:val="17"/>
        </w:rPr>
      </w:pPr>
      <w:r w:rsidRPr="006B53FB">
        <w:rPr>
          <w:noProof/>
          <w:sz w:val="17"/>
          <w:szCs w:val="17"/>
          <w:lang w:eastAsia="tr-TR"/>
        </w:rPr>
        <w:drawing>
          <wp:inline distT="0" distB="0" distL="0" distR="0" wp14:anchorId="6D8AAD26" wp14:editId="7C21854F">
            <wp:extent cx="1009109" cy="482600"/>
            <wp:effectExtent l="0" t="0" r="635" b="0"/>
            <wp:docPr id="8"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r w:rsidR="003D46E4" w:rsidRPr="006B53FB">
        <w:rPr>
          <w:noProof/>
          <w:sz w:val="17"/>
          <w:szCs w:val="17"/>
          <w:lang w:eastAsia="tr-TR"/>
        </w:rPr>
        <w:t xml:space="preserve">           </w:t>
      </w:r>
    </w:p>
    <w:p w:rsidR="00DB58FF" w:rsidRPr="006B53FB" w:rsidRDefault="00DB58FF" w:rsidP="00DB58FF">
      <w:pPr>
        <w:pStyle w:val="AralkYok"/>
        <w:rPr>
          <w:sz w:val="10"/>
          <w:szCs w:val="10"/>
        </w:rPr>
      </w:pPr>
      <w:r w:rsidRPr="006B53FB">
        <w:rPr>
          <w:sz w:val="10"/>
          <w:szCs w:val="10"/>
        </w:rPr>
        <w:t>PANORAMA ARABULUCULUK MERKEZİ</w:t>
      </w:r>
    </w:p>
    <w:p w:rsidR="003D46E4" w:rsidRPr="006B53FB" w:rsidRDefault="003D46E4" w:rsidP="003D46E4">
      <w:pPr>
        <w:pStyle w:val="AralkYok"/>
        <w:rPr>
          <w:rFonts w:ascii="Verdana" w:hAnsi="Verdana"/>
          <w:sz w:val="17"/>
          <w:szCs w:val="17"/>
        </w:rPr>
      </w:pPr>
    </w:p>
    <w:p w:rsidR="00B52CDB" w:rsidRPr="006B53FB" w:rsidRDefault="00B52CDB" w:rsidP="00405B16">
      <w:pPr>
        <w:pStyle w:val="AralkYok"/>
        <w:jc w:val="center"/>
        <w:rPr>
          <w:rFonts w:ascii="Verdana" w:hAnsi="Verdana"/>
          <w:sz w:val="17"/>
          <w:szCs w:val="17"/>
        </w:rPr>
      </w:pPr>
      <w:r w:rsidRPr="006B53FB">
        <w:rPr>
          <w:rFonts w:ascii="Verdana" w:hAnsi="Verdana"/>
          <w:sz w:val="17"/>
          <w:szCs w:val="17"/>
        </w:rPr>
        <w:t xml:space="preserve">DAVA ŞARTI - İŞÇİ İŞVEREN UYUŞMAZLIĞI ARABULUCULUK </w:t>
      </w:r>
      <w:r w:rsidR="003D46E4" w:rsidRPr="006B53FB">
        <w:rPr>
          <w:rFonts w:ascii="Verdana" w:hAnsi="Verdana"/>
          <w:sz w:val="17"/>
          <w:szCs w:val="17"/>
        </w:rPr>
        <w:t>–</w:t>
      </w:r>
      <w:r w:rsidR="00405B16" w:rsidRPr="006B53FB">
        <w:rPr>
          <w:rFonts w:ascii="Verdana" w:hAnsi="Verdana"/>
          <w:sz w:val="17"/>
          <w:szCs w:val="17"/>
        </w:rPr>
        <w:t xml:space="preserve"> </w:t>
      </w:r>
      <w:r w:rsidR="003D46E4" w:rsidRPr="006B53FB">
        <w:rPr>
          <w:rFonts w:ascii="Verdana" w:hAnsi="Verdana"/>
          <w:sz w:val="17"/>
          <w:szCs w:val="17"/>
        </w:rPr>
        <w:t>BİLGİLENDİRME TUTANAĞI</w:t>
      </w:r>
    </w:p>
    <w:p w:rsidR="00B52CDB" w:rsidRPr="006B53FB" w:rsidRDefault="00B52CDB" w:rsidP="00243EFB">
      <w:pPr>
        <w:pStyle w:val="AralkYok"/>
        <w:rPr>
          <w:rFonts w:ascii="Verdana" w:hAnsi="Verdana"/>
          <w:sz w:val="17"/>
          <w:szCs w:val="17"/>
        </w:rPr>
      </w:pPr>
      <w:r w:rsidRPr="006B53FB">
        <w:rPr>
          <w:rFonts w:ascii="Verdana" w:hAnsi="Verdana"/>
          <w:sz w:val="17"/>
          <w:szCs w:val="17"/>
        </w:rPr>
        <w:t>Arabuluculuk Bürosu</w:t>
      </w:r>
      <w:r w:rsidRPr="006B53FB">
        <w:rPr>
          <w:rFonts w:ascii="Verdana" w:hAnsi="Verdana"/>
          <w:sz w:val="17"/>
          <w:szCs w:val="17"/>
        </w:rPr>
        <w:tab/>
        <w:t xml:space="preserve">:  </w:t>
      </w:r>
    </w:p>
    <w:p w:rsidR="00B52CDB" w:rsidRPr="006B53FB" w:rsidRDefault="00B52CDB" w:rsidP="00243EFB">
      <w:pPr>
        <w:pStyle w:val="AralkYok"/>
        <w:rPr>
          <w:rFonts w:ascii="Verdana" w:hAnsi="Verdana"/>
          <w:sz w:val="17"/>
          <w:szCs w:val="17"/>
        </w:rPr>
      </w:pPr>
      <w:r w:rsidRPr="006B53FB">
        <w:rPr>
          <w:rFonts w:ascii="Verdana" w:hAnsi="Verdana"/>
          <w:sz w:val="17"/>
          <w:szCs w:val="17"/>
        </w:rPr>
        <w:t>Büro Dosya Numarası</w:t>
      </w:r>
      <w:r w:rsidRPr="006B53FB">
        <w:rPr>
          <w:rFonts w:ascii="Verdana" w:hAnsi="Verdana"/>
          <w:sz w:val="17"/>
          <w:szCs w:val="17"/>
        </w:rPr>
        <w:tab/>
        <w:t>:</w:t>
      </w:r>
      <w:r w:rsidRPr="006B53FB">
        <w:rPr>
          <w:rFonts w:ascii="Verdana" w:hAnsi="Verdana"/>
          <w:sz w:val="17"/>
          <w:szCs w:val="17"/>
        </w:rPr>
        <w:tab/>
      </w:r>
    </w:p>
    <w:p w:rsidR="00B52CDB" w:rsidRPr="006B53FB" w:rsidRDefault="00B52CDB" w:rsidP="00243EFB">
      <w:pPr>
        <w:pStyle w:val="AralkYok"/>
        <w:rPr>
          <w:sz w:val="17"/>
          <w:szCs w:val="17"/>
        </w:rPr>
      </w:pPr>
      <w:r w:rsidRPr="006B53FB">
        <w:rPr>
          <w:rFonts w:ascii="Verdana" w:hAnsi="Verdana"/>
          <w:sz w:val="17"/>
          <w:szCs w:val="17"/>
        </w:rPr>
        <w:t>Arabuluculuk Numarası</w:t>
      </w:r>
      <w:r w:rsidRPr="006B53FB">
        <w:rPr>
          <w:rFonts w:ascii="Verdana" w:hAnsi="Verdana"/>
          <w:sz w:val="17"/>
          <w:szCs w:val="17"/>
        </w:rPr>
        <w:tab/>
        <w:t>:</w:t>
      </w:r>
      <w:r w:rsidRPr="006B53FB">
        <w:rPr>
          <w:sz w:val="17"/>
          <w:szCs w:val="17"/>
        </w:rPr>
        <w:tab/>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ab/>
        <w:t>İşbu bilgilendirme tutanağı 6325 sayılı Hukuk Uyuşmazlıklarında Arabuluculuk Kanununun 11. maddesi ve Hukuk Uyuşmazlıklarında Arabuluculuk Yönetmeliği 13. maddesi gereğince, arabuluculuk faaliyetinin başında, tarafları arabuluculuğun esasları, süreci ve hukuki sonuçları hakkında,  şahsen ve doğrudan bilgilen</w:t>
      </w:r>
      <w:r w:rsidR="003D46E4" w:rsidRPr="006B53FB">
        <w:rPr>
          <w:rFonts w:ascii="Verdana" w:eastAsia="Calibri" w:hAnsi="Verdana" w:cs="Times New Roman"/>
          <w:sz w:val="17"/>
          <w:szCs w:val="17"/>
          <w:lang w:val="tr-TR"/>
        </w:rPr>
        <w:t xml:space="preserve">dirme amacıyla hazırlanmıştır. </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b/>
          <w:sz w:val="17"/>
          <w:szCs w:val="17"/>
          <w:highlight w:val="lightGray"/>
          <w:lang w:val="tr-TR"/>
        </w:rPr>
        <w:t>1-</w:t>
      </w:r>
      <w:r w:rsidRPr="006B53FB">
        <w:rPr>
          <w:rFonts w:ascii="Verdana" w:eastAsia="Calibri" w:hAnsi="Verdana" w:cs="Times New Roman"/>
          <w:b/>
          <w:sz w:val="17"/>
          <w:szCs w:val="17"/>
          <w:highlight w:val="lightGray"/>
          <w:lang w:val="tr-TR"/>
        </w:rPr>
        <w:tab/>
        <w:t>TANIMLAR</w:t>
      </w:r>
      <w:r w:rsidRPr="006B53FB">
        <w:rPr>
          <w:rFonts w:ascii="Verdana" w:eastAsia="Calibri" w:hAnsi="Verdana" w:cs="Times New Roman"/>
          <w:b/>
          <w:sz w:val="17"/>
          <w:szCs w:val="17"/>
          <w:highlight w:val="lightGray"/>
          <w:lang w:val="tr-TR"/>
        </w:rPr>
        <w:tab/>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1.1.</w:t>
      </w:r>
      <w:r w:rsidRPr="006B53FB">
        <w:rPr>
          <w:rFonts w:ascii="Verdana" w:eastAsia="Calibri" w:hAnsi="Verdana" w:cs="Times New Roman"/>
          <w:sz w:val="17"/>
          <w:szCs w:val="17"/>
          <w:lang w:val="tr-TR"/>
        </w:rPr>
        <w:tab/>
        <w:t>Arabulucu: Arabuluculuk faaliyetini yürüten ve Bakanlıkça düzenlenen arabulucular siciline kaydedilmiş bulunan gerçek kişiyi,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 xml:space="preserve">1.2. </w:t>
      </w:r>
      <w:r w:rsidRPr="006B53FB">
        <w:rPr>
          <w:rFonts w:ascii="Verdana" w:eastAsia="Calibri" w:hAnsi="Verdana" w:cs="Times New Roman"/>
          <w:sz w:val="17"/>
          <w:szCs w:val="17"/>
          <w:lang w:val="tr-TR"/>
        </w:rPr>
        <w:tab/>
        <w:t xml:space="preserve">Arabuluculuk: 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Pr="006B53FB">
        <w:rPr>
          <w:rFonts w:ascii="Verdana" w:eastAsia="Calibri" w:hAnsi="Verdana" w:cs="Times New Roman"/>
          <w:sz w:val="17"/>
          <w:szCs w:val="17"/>
          <w:lang w:val="tr-TR"/>
        </w:rPr>
        <w:t>ortaya  çıkması</w:t>
      </w:r>
      <w:proofErr w:type="gramEnd"/>
      <w:r w:rsidRPr="006B53FB">
        <w:rPr>
          <w:rFonts w:ascii="Verdana" w:eastAsia="Calibri" w:hAnsi="Verdana" w:cs="Times New Roman"/>
          <w:sz w:val="17"/>
          <w:szCs w:val="17"/>
          <w:lang w:val="tr-TR"/>
        </w:rPr>
        <w:t xml:space="preserve"> hâlinde çözüm önerisi de getirebilen, uzmanlık eğitimi almış olan tarafsız ve bağımsız bir üçüncü kişinin katılımıyla ve kamu hizmeti olarak yürütülen ihtiyari </w:t>
      </w:r>
      <w:r w:rsidR="00243EFB" w:rsidRPr="006B53FB">
        <w:rPr>
          <w:rFonts w:ascii="Verdana" w:eastAsia="Calibri" w:hAnsi="Verdana" w:cs="Times New Roman"/>
          <w:sz w:val="17"/>
          <w:szCs w:val="17"/>
          <w:lang w:val="tr-TR"/>
        </w:rPr>
        <w:t>bir uyuşmazlık çözüm yöntemini,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highlight w:val="lightGray"/>
          <w:lang w:val="tr-TR"/>
        </w:rPr>
        <w:t>2-</w:t>
      </w:r>
      <w:r w:rsidRPr="006B53FB">
        <w:rPr>
          <w:rFonts w:ascii="Verdana" w:eastAsia="Calibri" w:hAnsi="Verdana" w:cs="Times New Roman"/>
          <w:sz w:val="17"/>
          <w:szCs w:val="17"/>
          <w:highlight w:val="lightGray"/>
          <w:lang w:val="tr-TR"/>
        </w:rPr>
        <w:tab/>
        <w:t>ARABULUCULUĞUN ESASLARI VE ARABULUCULUK SÜRECİ</w:t>
      </w:r>
      <w:r w:rsidRPr="006B53FB">
        <w:rPr>
          <w:rFonts w:ascii="Verdana" w:eastAsia="Calibri" w:hAnsi="Verdana" w:cs="Times New Roman"/>
          <w:sz w:val="17"/>
          <w:szCs w:val="17"/>
          <w:highlight w:val="lightGray"/>
          <w:lang w:val="tr-TR"/>
        </w:rPr>
        <w:tab/>
        <w:t>:</w:t>
      </w:r>
      <w:r w:rsidRPr="006B53FB">
        <w:rPr>
          <w:rFonts w:ascii="Verdana" w:eastAsia="Calibri" w:hAnsi="Verdana" w:cs="Times New Roman"/>
          <w:sz w:val="17"/>
          <w:szCs w:val="17"/>
          <w:lang w:val="tr-TR"/>
        </w:rPr>
        <w:t xml:space="preserve">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w:t>
      </w:r>
      <w:r w:rsidRPr="006B53FB">
        <w:rPr>
          <w:rFonts w:ascii="Verdana" w:eastAsia="Calibri" w:hAnsi="Verdana" w:cs="Times New Roman"/>
          <w:sz w:val="17"/>
          <w:szCs w:val="17"/>
          <w:lang w:val="tr-TR"/>
        </w:rPr>
        <w:tab/>
        <w:t>Arabuluculuk süreci,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w:t>
      </w:r>
      <w:r w:rsidRPr="006B53FB">
        <w:rPr>
          <w:rFonts w:ascii="Verdana" w:eastAsia="Calibri" w:hAnsi="Verdana" w:cs="Times New Roman"/>
          <w:sz w:val="17"/>
          <w:szCs w:val="17"/>
          <w:lang w:val="tr-TR"/>
        </w:rPr>
        <w:tab/>
        <w:t>Arabuluculuk sürecinin başlamasından sona ermesine kadar geçirilen süre, zamanaşımı ve hak düşürücü sürelerin hesaplanmasında dikkate alınmaz.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2.3.</w:t>
      </w:r>
      <w:r w:rsidRPr="006B53FB">
        <w:rPr>
          <w:rFonts w:ascii="Verdana" w:eastAsia="Calibri" w:hAnsi="Verdana" w:cs="Times New Roman"/>
          <w:sz w:val="17"/>
          <w:szCs w:val="17"/>
          <w:lang w:val="tr-TR"/>
        </w:rPr>
        <w:tab/>
        <w:t xml:space="preserve">Taraflar, arabulucuya başvurmak, süreci devam ettirmek, sonuçlandırmak veya bu süreçten istedikleri anda vazgeçmek konusunda tamamen serbesttirler. Taraflar, hiçbir şekilde zorla bu sürecin içine </w:t>
      </w:r>
      <w:proofErr w:type="gramStart"/>
      <w:r w:rsidRPr="006B53FB">
        <w:rPr>
          <w:rFonts w:ascii="Verdana" w:eastAsia="Calibri" w:hAnsi="Verdana" w:cs="Times New Roman"/>
          <w:sz w:val="17"/>
          <w:szCs w:val="17"/>
          <w:lang w:val="tr-TR"/>
        </w:rPr>
        <w:t>dahil</w:t>
      </w:r>
      <w:proofErr w:type="gramEnd"/>
      <w:r w:rsidRPr="006B53FB">
        <w:rPr>
          <w:rFonts w:ascii="Verdana" w:eastAsia="Calibri" w:hAnsi="Verdana" w:cs="Times New Roman"/>
          <w:sz w:val="17"/>
          <w:szCs w:val="17"/>
          <w:lang w:val="tr-TR"/>
        </w:rPr>
        <w:t xml:space="preserve"> edilmeyecekleri gibi sürecin her aşamasında arabuluculuk müzakere sürecini sonlandırabilirler.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2.4.</w:t>
      </w:r>
      <w:r w:rsidRPr="006B53FB">
        <w:rPr>
          <w:rFonts w:ascii="Verdana" w:eastAsia="Calibri" w:hAnsi="Verdana" w:cs="Times New Roman"/>
          <w:sz w:val="17"/>
          <w:szCs w:val="17"/>
          <w:lang w:val="tr-TR"/>
        </w:rPr>
        <w:tab/>
        <w:t xml:space="preserve">Taraflar, gerek arabulucuya başvururken gerekse süreç boyunca eşit haklara sahiptirler. Taraflardan biri arabuluculuk sürecinin dışında bırakılmayacağı gibi söz hakkı da diğerine göre kısıtlanmaz.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2.5.</w:t>
      </w:r>
      <w:r w:rsidRPr="006B53FB">
        <w:rPr>
          <w:rFonts w:ascii="Verdana" w:eastAsia="Calibri" w:hAnsi="Verdana" w:cs="Times New Roman"/>
          <w:sz w:val="17"/>
          <w:szCs w:val="17"/>
          <w:lang w:val="tr-TR"/>
        </w:rPr>
        <w:tab/>
        <w:t xml:space="preserve">Taraflarca aksi kararlaştırılmadıkça arabulucu, arabuluculuk faaliyeti çerçevesinde kendisine sunulan veya diğer bir şekilde elde ettiği bilgi ve belgeler ile diğer kayıtları gizli tutulmakla yükümlüdür. 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2.6.</w:t>
      </w:r>
      <w:r w:rsidRPr="006B53FB">
        <w:rPr>
          <w:rFonts w:ascii="Verdana" w:eastAsia="Calibri" w:hAnsi="Verdana" w:cs="Times New Roman"/>
          <w:sz w:val="17"/>
          <w:szCs w:val="17"/>
          <w:lang w:val="tr-TR"/>
        </w:rPr>
        <w:tab/>
        <w:t xml:space="preserve">Taraflar, arabulucu veya arabuluculuğa katılanlar da </w:t>
      </w:r>
      <w:proofErr w:type="gramStart"/>
      <w:r w:rsidRPr="006B53FB">
        <w:rPr>
          <w:rFonts w:ascii="Verdana" w:eastAsia="Calibri" w:hAnsi="Verdana" w:cs="Times New Roman"/>
          <w:sz w:val="17"/>
          <w:szCs w:val="17"/>
          <w:lang w:val="tr-TR"/>
        </w:rPr>
        <w:t>dahil</w:t>
      </w:r>
      <w:proofErr w:type="gramEnd"/>
      <w:r w:rsidRPr="006B53FB">
        <w:rPr>
          <w:rFonts w:ascii="Verdana" w:eastAsia="Calibri" w:hAnsi="Verdana" w:cs="Times New Roman"/>
          <w:sz w:val="17"/>
          <w:szCs w:val="17"/>
          <w:lang w:val="tr-TR"/>
        </w:rPr>
        <w:t xml:space="preserve">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sürülen öneriler veya herhangi bir vakıa veya iddianın kabulü, sadece arabuluculuk faaliyeti dolayısıyla hazırlanan belgeler delil olarak ileri süremez ve bunlar hakkında tanıklık yapamaz. İş bu bilgilerin açıklanması </w:t>
      </w:r>
      <w:r w:rsidRPr="006B53FB">
        <w:rPr>
          <w:rFonts w:ascii="Verdana" w:eastAsia="Calibri" w:hAnsi="Verdana" w:cs="Times New Roman"/>
          <w:sz w:val="17"/>
          <w:szCs w:val="17"/>
          <w:lang w:val="tr-TR"/>
        </w:rPr>
        <w:lastRenderedPageBreak/>
        <w:t xml:space="preserve">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2.7.</w:t>
      </w:r>
      <w:r w:rsidRPr="006B53FB">
        <w:rPr>
          <w:rFonts w:ascii="Verdana" w:eastAsia="Calibri" w:hAnsi="Verdana" w:cs="Times New Roman"/>
          <w:sz w:val="17"/>
          <w:szCs w:val="17"/>
          <w:lang w:val="tr-TR"/>
        </w:rPr>
        <w:tab/>
        <w:t xml:space="preserve">Arabulucu, arabuluculuk faaliyetini yürütürken tarafsız davranmak zorunda olup, tarafsızlığı hakkında şüpheye yol açacak tutum ve davranışta bulunamaz.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2.8.</w:t>
      </w:r>
      <w:r w:rsidRPr="006B53FB">
        <w:rPr>
          <w:rFonts w:ascii="Verdana" w:eastAsia="Calibri" w:hAnsi="Verdana" w:cs="Times New Roman"/>
          <w:sz w:val="17"/>
          <w:szCs w:val="17"/>
          <w:lang w:val="tr-TR"/>
        </w:rPr>
        <w:tab/>
        <w:t xml:space="preserve">Arabulucu görevini özenle, tarafsız bir biçimde ve bizzat kendisi yerine getirmek zorunda olup, bu görevini kısmen dahi olsa bir başkasına devredemez.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2.9.</w:t>
      </w:r>
      <w:r w:rsidRPr="006B53FB">
        <w:rPr>
          <w:rFonts w:ascii="Verdana" w:eastAsia="Calibri" w:hAnsi="Verdana" w:cs="Times New Roman"/>
          <w:sz w:val="17"/>
          <w:szCs w:val="17"/>
          <w:lang w:val="tr-TR"/>
        </w:rPr>
        <w:tab/>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2.10.</w:t>
      </w:r>
      <w:r w:rsidRPr="006B53FB">
        <w:rPr>
          <w:rFonts w:ascii="Verdana" w:eastAsia="Calibri" w:hAnsi="Verdana" w:cs="Times New Roman"/>
          <w:sz w:val="17"/>
          <w:szCs w:val="17"/>
          <w:lang w:val="tr-TR"/>
        </w:rPr>
        <w:tab/>
        <w:t>Arabulucu, taraflar arasında eşitliği gözetmekle yükümlüdür. Arabulucu, bu sıfatla görev yaptığı uyuşmazlık ile ilgili olarak açılan davada, daha sonra, hâkimlik, hakemlik ve bilirkişilik yapamayacağı gibi avukat olarak da görev üstlenemez.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2.11.</w:t>
      </w:r>
      <w:r w:rsidRPr="006B53FB">
        <w:rPr>
          <w:rFonts w:ascii="Verdana" w:eastAsia="Calibri" w:hAnsi="Verdana" w:cs="Times New Roman"/>
          <w:sz w:val="17"/>
          <w:szCs w:val="17"/>
          <w:lang w:val="tr-TR"/>
        </w:rPr>
        <w:tab/>
        <w:t xml:space="preserve">Tarafların arabuluculuk sürecinin sonunda tarafların anlaşamaması halinde de, iş bu durum arabulucu tarafından tutanak altına alınacaktır.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2.12.</w:t>
      </w:r>
      <w:r w:rsidRPr="006B53FB">
        <w:rPr>
          <w:rFonts w:ascii="Verdana" w:eastAsia="Calibri" w:hAnsi="Verdana" w:cs="Times New Roman"/>
          <w:sz w:val="17"/>
          <w:szCs w:val="17"/>
          <w:lang w:val="tr-TR"/>
        </w:rPr>
        <w:tab/>
        <w:t xml:space="preserve">Arabulucu, tarafların her biri ile ayrı ayrı veya birlikte görüşebilir ve iletişim kurabilir. Taraflar bu görüşmelere vekilleri aracılığı ile de katılabilirler.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2.13.</w:t>
      </w:r>
      <w:r w:rsidRPr="006B53FB">
        <w:rPr>
          <w:rFonts w:ascii="Verdana" w:eastAsia="Calibri" w:hAnsi="Verdana" w:cs="Times New Roman"/>
          <w:sz w:val="17"/>
          <w:szCs w:val="17"/>
          <w:lang w:val="tr-TR"/>
        </w:rPr>
        <w:tab/>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2.14.</w:t>
      </w:r>
      <w:r w:rsidRPr="006B53FB">
        <w:rPr>
          <w:rFonts w:ascii="Verdana" w:eastAsia="Calibri" w:hAnsi="Verdana" w:cs="Times New Roman"/>
          <w:sz w:val="17"/>
          <w:szCs w:val="17"/>
          <w:lang w:val="tr-TR"/>
        </w:rPr>
        <w:tab/>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2.15.</w:t>
      </w:r>
      <w:r w:rsidRPr="006B53FB">
        <w:rPr>
          <w:rFonts w:ascii="Verdana" w:eastAsia="Calibri" w:hAnsi="Verdana" w:cs="Times New Roman"/>
          <w:sz w:val="17"/>
          <w:szCs w:val="17"/>
          <w:lang w:val="tr-TR"/>
        </w:rPr>
        <w:tab/>
        <w:t xml:space="preserve">Başkaca bir usul kararlaştırılmadıkça arabulucu veya arabulucular taraflarca seçilir. Arabulucu, seçildikten sonra tarafları en kısa sürede ilk toplantıya davet eder.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2.16.</w:t>
      </w:r>
      <w:r w:rsidRPr="006B53FB">
        <w:rPr>
          <w:rFonts w:ascii="Verdana" w:eastAsia="Calibri" w:hAnsi="Verdana" w:cs="Times New Roman"/>
          <w:sz w:val="17"/>
          <w:szCs w:val="17"/>
          <w:lang w:val="tr-TR"/>
        </w:rPr>
        <w:tab/>
        <w:t xml:space="preserve">Taraflar, emredici hukuk kurallarına aykırı olmamak kaydı ile arabuluculuk usulünü serbestçe kararlaştırabilirler.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2.17.</w:t>
      </w:r>
      <w:r w:rsidRPr="006B53FB">
        <w:rPr>
          <w:rFonts w:ascii="Verdana" w:eastAsia="Calibri" w:hAnsi="Verdana" w:cs="Times New Roman"/>
          <w:sz w:val="17"/>
          <w:szCs w:val="17"/>
          <w:lang w:val="tr-TR"/>
        </w:rPr>
        <w:tab/>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2.18.</w:t>
      </w:r>
      <w:r w:rsidRPr="006B53FB">
        <w:rPr>
          <w:rFonts w:ascii="Verdana" w:eastAsia="Calibri" w:hAnsi="Verdana" w:cs="Times New Roman"/>
          <w:sz w:val="17"/>
          <w:szCs w:val="17"/>
          <w:lang w:val="tr-TR"/>
        </w:rPr>
        <w:tab/>
        <w:t xml:space="preserve">Keşif, bilirkişiye başvurma ve tanık dinleme gibi niteliği gereği yargısal bir yetkinin kullanımı olarak sadece hâkim tarafından yapılabilecek işlemler arabulucu tarafından yapılmaz.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2.19.</w:t>
      </w:r>
      <w:r w:rsidRPr="006B53FB">
        <w:rPr>
          <w:rFonts w:ascii="Verdana" w:eastAsia="Calibri" w:hAnsi="Verdana" w:cs="Times New Roman"/>
          <w:sz w:val="17"/>
          <w:szCs w:val="17"/>
          <w:lang w:val="tr-TR"/>
        </w:rPr>
        <w:tab/>
        <w:t xml:space="preserve">Arabulucu, sürecin yürütülmesi sırasında, taraflara hukuki tavsiyelerde bulunamaz; bir çözüm önerisi </w:t>
      </w:r>
      <w:proofErr w:type="gramStart"/>
      <w:r w:rsidRPr="006B53FB">
        <w:rPr>
          <w:rFonts w:ascii="Verdana" w:eastAsia="Calibri" w:hAnsi="Verdana" w:cs="Times New Roman"/>
          <w:sz w:val="17"/>
          <w:szCs w:val="17"/>
          <w:lang w:val="tr-TR"/>
        </w:rPr>
        <w:t>yada</w:t>
      </w:r>
      <w:proofErr w:type="gramEnd"/>
      <w:r w:rsidRPr="006B53FB">
        <w:rPr>
          <w:rFonts w:ascii="Verdana" w:eastAsia="Calibri" w:hAnsi="Verdana" w:cs="Times New Roman"/>
          <w:sz w:val="17"/>
          <w:szCs w:val="17"/>
          <w:lang w:val="tr-TR"/>
        </w:rPr>
        <w:t xml:space="preserve"> da öneriler kataloğu geliştirip, bunu onlara empoze edemeyeceği gibi, müzakereler sırasında geliştirilen bir çözüm önerisi üzerinde anlaşmaya varmaları için de onları zorlayamaz. Ancak, taraflardan birisinin, uyuşmazlığın çözümü bağlamında, sunulmuş olduğu bir önerinin, arabulucu tarafından, diğer tarafa iletilmesi ve </w:t>
      </w:r>
      <w:r w:rsidRPr="006B53FB">
        <w:rPr>
          <w:rFonts w:ascii="Verdana" w:eastAsia="Calibri" w:hAnsi="Verdana" w:cs="Times New Roman"/>
          <w:sz w:val="17"/>
          <w:szCs w:val="17"/>
          <w:lang w:val="tr-TR"/>
        </w:rPr>
        <w:lastRenderedPageBreak/>
        <w:t>onun bu konudaki beyanının alınması bu kapsamda mütalaa edilemez. Ayrıca tarafların çözüm üretemediklerinin ortaya çıkması hâlinde çözüm önerisi getirebilir.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2.20.</w:t>
      </w:r>
      <w:r w:rsidRPr="006B53FB">
        <w:rPr>
          <w:rFonts w:ascii="Verdana" w:eastAsia="Calibri" w:hAnsi="Verdana" w:cs="Times New Roman"/>
          <w:sz w:val="17"/>
          <w:szCs w:val="17"/>
          <w:lang w:val="tr-TR"/>
        </w:rPr>
        <w:tab/>
        <w:t xml:space="preserve">Dava açıldıktan sonra tarafların birlikte arabulucuya başvuracaklarını beyan etmeleri halinde yargılama, mahkemece üç ayı geçmemek üzere üç aya kadar uzatılabilir.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2.21.</w:t>
      </w:r>
      <w:r w:rsidRPr="006B53FB">
        <w:rPr>
          <w:rFonts w:ascii="Verdana" w:eastAsia="Calibri" w:hAnsi="Verdana" w:cs="Times New Roman"/>
          <w:sz w:val="17"/>
          <w:szCs w:val="17"/>
          <w:lang w:val="tr-TR"/>
        </w:rPr>
        <w:tab/>
        <w:t>Taraflar arabuluculuk müzakerelerine bizzat veya arabuluculuk konusunda özel yetki verilmiş vekilleri aracılığı ile katılabilirler.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2.22.</w:t>
      </w:r>
      <w:r w:rsidRPr="006B53FB">
        <w:rPr>
          <w:rFonts w:ascii="Verdana" w:eastAsia="Calibri" w:hAnsi="Verdana" w:cs="Times New Roman"/>
          <w:sz w:val="17"/>
          <w:szCs w:val="17"/>
          <w:lang w:val="tr-TR"/>
        </w:rPr>
        <w:tab/>
        <w:t>Arabulucu, arabuluc</w:t>
      </w:r>
      <w:r w:rsidR="00D80AA5">
        <w:rPr>
          <w:rFonts w:ascii="Verdana" w:eastAsia="Calibri" w:hAnsi="Verdana" w:cs="Times New Roman"/>
          <w:sz w:val="17"/>
          <w:szCs w:val="17"/>
          <w:lang w:val="tr-TR"/>
        </w:rPr>
        <w:t xml:space="preserve">uluk sürecinde hukuki ve fiili </w:t>
      </w:r>
      <w:r w:rsidRPr="006B53FB">
        <w:rPr>
          <w:rFonts w:ascii="Verdana" w:eastAsia="Calibri" w:hAnsi="Verdana" w:cs="Times New Roman"/>
          <w:sz w:val="17"/>
          <w:szCs w:val="17"/>
          <w:lang w:val="tr-TR"/>
        </w:rPr>
        <w:t>sebeplerle görevini yapamayacak hale gelirse, tarafların üzerinde anlaştığı yeni bir arabulucu ile süreç kaldığı yerden devam ettirilebilir. Önceki yapılan</w:t>
      </w:r>
      <w:r w:rsidR="00243EFB" w:rsidRPr="006B53FB">
        <w:rPr>
          <w:rFonts w:ascii="Verdana" w:eastAsia="Calibri" w:hAnsi="Verdana" w:cs="Times New Roman"/>
          <w:sz w:val="17"/>
          <w:szCs w:val="17"/>
          <w:lang w:val="tr-TR"/>
        </w:rPr>
        <w:t xml:space="preserve"> işlemler geçerliliğini korur.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highlight w:val="lightGray"/>
          <w:lang w:val="tr-TR"/>
        </w:rPr>
        <w:t>3-</w:t>
      </w:r>
      <w:r w:rsidRPr="006B53FB">
        <w:rPr>
          <w:rFonts w:ascii="Verdana" w:eastAsia="Calibri" w:hAnsi="Verdana" w:cs="Times New Roman"/>
          <w:sz w:val="17"/>
          <w:szCs w:val="17"/>
          <w:highlight w:val="lightGray"/>
          <w:lang w:val="tr-TR"/>
        </w:rPr>
        <w:tab/>
        <w:t>İŞÇİ İŞVEREN UYUŞMAZLIKLARINDA DAVA ŞARTI ARABULUCULUK SÜRECİ</w:t>
      </w:r>
      <w:r w:rsidRPr="006B53FB">
        <w:rPr>
          <w:rFonts w:ascii="Verdana" w:eastAsia="Calibri" w:hAnsi="Verdana" w:cs="Times New Roman"/>
          <w:sz w:val="17"/>
          <w:szCs w:val="17"/>
          <w:highlight w:val="lightGray"/>
          <w:lang w:val="tr-TR"/>
        </w:rPr>
        <w:tab/>
        <w:t>:</w:t>
      </w:r>
      <w:r w:rsidRPr="006B53FB">
        <w:rPr>
          <w:rFonts w:ascii="Verdana" w:eastAsia="Calibri" w:hAnsi="Verdana" w:cs="Times New Roman"/>
          <w:sz w:val="17"/>
          <w:szCs w:val="17"/>
          <w:lang w:val="tr-TR"/>
        </w:rPr>
        <w:tab/>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w:t>
      </w:r>
      <w:r w:rsidRPr="006B53FB">
        <w:rPr>
          <w:rFonts w:ascii="Verdana" w:eastAsia="Calibri" w:hAnsi="Verdana" w:cs="Times New Roman"/>
          <w:sz w:val="17"/>
          <w:szCs w:val="17"/>
          <w:lang w:val="tr-TR"/>
        </w:rPr>
        <w:tab/>
        <w:t>7036 Sayılı İş Mahkemeleri Kanunu uyarınca kanuna, bireysel veya toplu iş sözleşmesine dayanan işçi veya işveren alacağı ve tazminatı ile işe iade talebiyle açılan davalarda, arabulucuya başvurulmuş olması dava şartıdır.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3.2.</w:t>
      </w:r>
      <w:r w:rsidRPr="006B53FB">
        <w:rPr>
          <w:rFonts w:ascii="Verdana" w:eastAsia="Calibri" w:hAnsi="Verdana" w:cs="Times New Roman"/>
          <w:sz w:val="17"/>
          <w:szCs w:val="17"/>
          <w:lang w:val="tr-TR"/>
        </w:rPr>
        <w:tab/>
        <w:t>Arabuluculuk bürosuna başvurulmasından son tutanağın düzenlendiği tarihe kadar geçen sürede zamanaşımı durur ve hak düşürücü süre işlemez.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3.3.</w:t>
      </w:r>
      <w:r w:rsidRPr="006B53FB">
        <w:rPr>
          <w:rFonts w:ascii="Verdana" w:eastAsia="Calibri" w:hAnsi="Verdana" w:cs="Times New Roman"/>
          <w:sz w:val="17"/>
          <w:szCs w:val="17"/>
          <w:lang w:val="tr-TR"/>
        </w:rPr>
        <w:tab/>
        <w:t>Asıl işveren-alt işveren ilişkisinin varlığı hâlinde işe iade talebiyle arabulucuya başvurulduğunda, anlaşmanın gerçekleşebilmesi için işverenlerin arabuluculuk görüşmelerine birlikte katılmaları ve iradelerinin birbirine uygun olması aranır.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3.4.</w:t>
      </w:r>
      <w:r w:rsidRPr="006B53FB">
        <w:rPr>
          <w:rFonts w:ascii="Verdana" w:eastAsia="Calibri" w:hAnsi="Verdana" w:cs="Times New Roman"/>
          <w:sz w:val="17"/>
          <w:szCs w:val="17"/>
          <w:lang w:val="tr-TR"/>
        </w:rPr>
        <w:tab/>
        <w:t>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3.5.</w:t>
      </w:r>
      <w:r w:rsidRPr="006B53FB">
        <w:rPr>
          <w:rFonts w:ascii="Verdana" w:eastAsia="Calibri" w:hAnsi="Verdana" w:cs="Times New Roman"/>
          <w:sz w:val="17"/>
          <w:szCs w:val="17"/>
          <w:lang w:val="tr-TR"/>
        </w:rPr>
        <w:tab/>
        <w:t>Davacı, arabuluculuk faaliyeti sonunda anlaşmaya varılması halinde bir anlaşma belgesi düzenlenir, bu belge taraflar ve Arabulucu tarafından imzalanır. Ayrıca Anlaşma son tutanağı düzenlenir.</w:t>
      </w:r>
    </w:p>
    <w:p w:rsidR="00243EFB" w:rsidRDefault="00B52CDB" w:rsidP="006B53FB">
      <w:pPr>
        <w:pStyle w:val="AralkYok"/>
        <w:rPr>
          <w:rFonts w:ascii="Verdana" w:hAnsi="Verdana"/>
          <w:sz w:val="17"/>
          <w:szCs w:val="17"/>
        </w:rPr>
      </w:pPr>
      <w:r w:rsidRPr="008152DF">
        <w:rPr>
          <w:rFonts w:ascii="Verdana" w:hAnsi="Verdana"/>
          <w:sz w:val="17"/>
          <w:szCs w:val="17"/>
        </w:rPr>
        <w:t>3.6.</w:t>
      </w:r>
      <w:r w:rsidRPr="008152DF">
        <w:rPr>
          <w:rFonts w:ascii="Verdana" w:hAnsi="Verdana"/>
          <w:sz w:val="17"/>
          <w:szCs w:val="17"/>
        </w:rPr>
        <w:tab/>
        <w:t>Arabulucu, yapılan başvuruyu görevlendirildiği tarihten itibaren üç hafta içinde sonuçlandırır. Bu süre zorunlu hâllerde arabulucu tarafından en fazla bir hafta uzatılabilir.</w:t>
      </w:r>
    </w:p>
    <w:p w:rsidR="008152DF" w:rsidRPr="008152DF" w:rsidRDefault="008152DF" w:rsidP="006B53FB">
      <w:pPr>
        <w:pStyle w:val="AralkYok"/>
        <w:rPr>
          <w:rFonts w:ascii="Verdana" w:hAnsi="Verdana"/>
          <w:sz w:val="17"/>
          <w:szCs w:val="17"/>
        </w:rPr>
      </w:pP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3.7.</w:t>
      </w:r>
      <w:r w:rsidRPr="006B53FB">
        <w:rPr>
          <w:rFonts w:ascii="Verdana" w:eastAsia="Calibri" w:hAnsi="Verdana" w:cs="Times New Roman"/>
          <w:sz w:val="17"/>
          <w:szCs w:val="17"/>
          <w:lang w:val="tr-TR"/>
        </w:rPr>
        <w:tab/>
        <w:t>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3.8.</w:t>
      </w:r>
      <w:r w:rsidRPr="006B53FB">
        <w:rPr>
          <w:rFonts w:ascii="Verdana" w:eastAsia="Calibri" w:hAnsi="Verdana" w:cs="Times New Roman"/>
          <w:sz w:val="17"/>
          <w:szCs w:val="17"/>
          <w:lang w:val="tr-TR"/>
        </w:rPr>
        <w:tab/>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rsidR="00B52CDB" w:rsidRPr="006B53FB" w:rsidRDefault="008152DF" w:rsidP="00B52CDB">
      <w:pPr>
        <w:ind w:right="284"/>
        <w:jc w:val="both"/>
        <w:rPr>
          <w:rFonts w:ascii="Verdana" w:eastAsia="Calibri" w:hAnsi="Verdana" w:cs="Times New Roman"/>
          <w:sz w:val="17"/>
          <w:szCs w:val="17"/>
          <w:lang w:val="tr-TR"/>
        </w:rPr>
      </w:pPr>
      <w:r>
        <w:rPr>
          <w:rFonts w:ascii="Verdana" w:eastAsia="Calibri" w:hAnsi="Verdana" w:cs="Times New Roman"/>
          <w:sz w:val="17"/>
          <w:szCs w:val="17"/>
          <w:lang w:val="tr-TR"/>
        </w:rPr>
        <w:t>3.9.</w:t>
      </w:r>
      <w:r>
        <w:rPr>
          <w:rFonts w:ascii="Verdana" w:eastAsia="Calibri" w:hAnsi="Verdana" w:cs="Times New Roman"/>
          <w:sz w:val="17"/>
          <w:szCs w:val="17"/>
          <w:lang w:val="tr-TR"/>
        </w:rPr>
        <w:tab/>
      </w:r>
      <w:r w:rsidR="00B52CDB" w:rsidRPr="006B53FB">
        <w:rPr>
          <w:rFonts w:ascii="Verdana" w:eastAsia="Calibri" w:hAnsi="Verdana" w:cs="Times New Roman"/>
          <w:sz w:val="17"/>
          <w:szCs w:val="17"/>
          <w:lang w:val="tr-TR"/>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w:t>
      </w:r>
      <w:r w:rsidR="00B52CDB" w:rsidRPr="006B53FB">
        <w:rPr>
          <w:rFonts w:ascii="Verdana" w:eastAsia="Calibri" w:hAnsi="Verdana" w:cs="Times New Roman"/>
          <w:sz w:val="17"/>
          <w:szCs w:val="17"/>
          <w:lang w:val="tr-TR"/>
        </w:rPr>
        <w:lastRenderedPageBreak/>
        <w:t>şekilde Tarifenin Birinci Kısmına göre karşılanır. Adalet Bakanlığı bütçesinden ödenen ve taraflarca karşılanan arabuluculuk ücreti, yargılama giderlerinden sayılır.</w:t>
      </w:r>
    </w:p>
    <w:p w:rsidR="00B52CDB" w:rsidRPr="006B53FB" w:rsidRDefault="008152DF" w:rsidP="00B52CDB">
      <w:pPr>
        <w:ind w:right="284"/>
        <w:jc w:val="both"/>
        <w:rPr>
          <w:rFonts w:ascii="Verdana" w:eastAsia="Calibri" w:hAnsi="Verdana" w:cs="Times New Roman"/>
          <w:sz w:val="17"/>
          <w:szCs w:val="17"/>
          <w:lang w:val="tr-TR"/>
        </w:rPr>
      </w:pPr>
      <w:r>
        <w:rPr>
          <w:rFonts w:ascii="Verdana" w:eastAsia="Calibri" w:hAnsi="Verdana" w:cs="Times New Roman"/>
          <w:sz w:val="17"/>
          <w:szCs w:val="17"/>
          <w:lang w:val="tr-TR"/>
        </w:rPr>
        <w:t>3.10.</w:t>
      </w:r>
      <w:r>
        <w:rPr>
          <w:rFonts w:ascii="Verdana" w:eastAsia="Calibri" w:hAnsi="Verdana" w:cs="Times New Roman"/>
          <w:sz w:val="17"/>
          <w:szCs w:val="17"/>
          <w:lang w:val="tr-TR"/>
        </w:rPr>
        <w:tab/>
      </w:r>
      <w:r w:rsidR="00B52CDB" w:rsidRPr="006B53FB">
        <w:rPr>
          <w:rFonts w:ascii="Verdana" w:eastAsia="Calibri" w:hAnsi="Verdana" w:cs="Times New Roman"/>
          <w:sz w:val="17"/>
          <w:szCs w:val="17"/>
          <w:lang w:val="tr-TR"/>
        </w:rPr>
        <w:t>Arabuluculuk görüşmelerine taraflar bizzat, kanuni temsilcileri veya avukatları aracılığıyla katılabilirler. İşverenin yazılı belgeyle yetkilendirdiği çalışanı da görüşmelerde işvereni temsil edebilir ve son tutanağı imzalayabilir.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3.11.</w:t>
      </w:r>
      <w:r w:rsidRPr="006B53FB">
        <w:rPr>
          <w:rFonts w:ascii="Verdana" w:eastAsia="Calibri" w:hAnsi="Verdana" w:cs="Times New Roman"/>
          <w:sz w:val="17"/>
          <w:szCs w:val="17"/>
          <w:lang w:val="tr-TR"/>
        </w:rPr>
        <w:tab/>
        <w:t>Arabuluculuk görüşmeleri, taraflarca aksi kararlaştırılmadıkça, arabulucuyu görevlendiren büronun bağlı bulunduğu adli yargı ilk derece mahkemesi adalet komisyonunun yetki alanı içinde yürütülür.</w:t>
      </w:r>
    </w:p>
    <w:p w:rsidR="00641290"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3.12.</w:t>
      </w:r>
      <w:r w:rsidRPr="006B53FB">
        <w:rPr>
          <w:rFonts w:ascii="Verdana" w:eastAsia="Calibri" w:hAnsi="Verdana" w:cs="Times New Roman"/>
          <w:sz w:val="17"/>
          <w:szCs w:val="17"/>
          <w:lang w:val="tr-TR"/>
        </w:rPr>
        <w:tab/>
      </w:r>
      <w:r w:rsidR="008152DF" w:rsidRPr="008152DF">
        <w:rPr>
          <w:rFonts w:ascii="Verdana" w:eastAsia="Calibri" w:hAnsi="Verdana" w:cs="Times New Roman"/>
          <w:sz w:val="17"/>
          <w:szCs w:val="17"/>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w:t>
      </w:r>
      <w:r w:rsidR="00641290">
        <w:rPr>
          <w:rFonts w:ascii="Verdana" w:eastAsia="Calibri" w:hAnsi="Verdana" w:cs="Times New Roman"/>
          <w:sz w:val="17"/>
          <w:szCs w:val="17"/>
          <w:lang w:val="tr-TR"/>
        </w:rPr>
        <w:t>.</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sz w:val="17"/>
          <w:szCs w:val="17"/>
          <w:highlight w:val="lightGray"/>
          <w:lang w:val="tr-TR"/>
        </w:rPr>
        <w:t>4-</w:t>
      </w:r>
      <w:r w:rsidRPr="006B53FB">
        <w:rPr>
          <w:rFonts w:ascii="Verdana" w:eastAsia="Calibri" w:hAnsi="Verdana" w:cs="Times New Roman"/>
          <w:sz w:val="17"/>
          <w:szCs w:val="17"/>
          <w:highlight w:val="lightGray"/>
          <w:lang w:val="tr-TR"/>
        </w:rPr>
        <w:tab/>
        <w:t xml:space="preserve">ARABULUCULUĞUN SONA ERMESİ </w:t>
      </w:r>
      <w:r w:rsidRPr="006B53FB">
        <w:rPr>
          <w:rFonts w:ascii="Verdana" w:eastAsia="Calibri" w:hAnsi="Verdana" w:cs="Times New Roman"/>
          <w:sz w:val="17"/>
          <w:szCs w:val="17"/>
          <w:highlight w:val="lightGray"/>
          <w:lang w:val="tr-TR"/>
        </w:rPr>
        <w:tab/>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Aşağıda belirtilen hallerde arabuluculuk faaliyeti sona erer: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4.1.</w:t>
      </w:r>
      <w:r w:rsidRPr="006B53FB">
        <w:rPr>
          <w:rFonts w:ascii="Verdana" w:eastAsia="Calibri" w:hAnsi="Verdana" w:cs="Times New Roman"/>
          <w:sz w:val="17"/>
          <w:szCs w:val="17"/>
          <w:lang w:val="tr-TR"/>
        </w:rPr>
        <w:tab/>
        <w:t>Tarafların uyuşmazlık konusu üzerinde anlaşmaya varılması.</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4.2.</w:t>
      </w:r>
      <w:r w:rsidRPr="006B53FB">
        <w:rPr>
          <w:rFonts w:ascii="Verdana" w:eastAsia="Calibri" w:hAnsi="Verdana" w:cs="Times New Roman"/>
          <w:sz w:val="17"/>
          <w:szCs w:val="17"/>
          <w:lang w:val="tr-TR"/>
        </w:rPr>
        <w:tab/>
        <w:t xml:space="preserve">Taraflara danışmanlıktan sonra arabuluculuk için daha fazla çaba sarf edilmesinin gereksiz olduğunun arabulucu tarafından tespit edilmesi.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4.3.</w:t>
      </w:r>
      <w:r w:rsidRPr="006B53FB">
        <w:rPr>
          <w:rFonts w:ascii="Verdana" w:eastAsia="Calibri" w:hAnsi="Verdana" w:cs="Times New Roman"/>
          <w:sz w:val="17"/>
          <w:szCs w:val="17"/>
          <w:lang w:val="tr-TR"/>
        </w:rPr>
        <w:tab/>
        <w:t>Taraflardan birinin karşı tarafa veya arabulucu</w:t>
      </w:r>
      <w:r w:rsidR="00DA06F5" w:rsidRPr="006B53FB">
        <w:rPr>
          <w:rFonts w:ascii="Verdana" w:eastAsia="Calibri" w:hAnsi="Verdana" w:cs="Times New Roman"/>
          <w:sz w:val="17"/>
          <w:szCs w:val="17"/>
          <w:lang w:val="tr-TR"/>
        </w:rPr>
        <w:t xml:space="preserve">ya, arabuluculuk faaliyetimden </w:t>
      </w:r>
      <w:r w:rsidRPr="006B53FB">
        <w:rPr>
          <w:rFonts w:ascii="Verdana" w:eastAsia="Calibri" w:hAnsi="Verdana" w:cs="Times New Roman"/>
          <w:sz w:val="17"/>
          <w:szCs w:val="17"/>
          <w:lang w:val="tr-TR"/>
        </w:rPr>
        <w:t>çekildiğini bildirmesi.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4.4.</w:t>
      </w:r>
      <w:r w:rsidRPr="006B53FB">
        <w:rPr>
          <w:rFonts w:ascii="Verdana" w:eastAsia="Calibri" w:hAnsi="Verdana" w:cs="Times New Roman"/>
          <w:sz w:val="17"/>
          <w:szCs w:val="17"/>
          <w:lang w:val="tr-TR"/>
        </w:rPr>
        <w:tab/>
        <w:t xml:space="preserve">Uyuşmazlığın arabuluculuğa elverişli olmadığının veya </w:t>
      </w:r>
      <w:proofErr w:type="gramStart"/>
      <w:r w:rsidRPr="006B53FB">
        <w:rPr>
          <w:rFonts w:ascii="Verdana" w:eastAsia="Calibri" w:hAnsi="Verdana" w:cs="Times New Roman"/>
          <w:sz w:val="17"/>
          <w:szCs w:val="17"/>
          <w:lang w:val="tr-TR"/>
        </w:rPr>
        <w:t>4/12/2004</w:t>
      </w:r>
      <w:proofErr w:type="gramEnd"/>
      <w:r w:rsidRPr="006B53FB">
        <w:rPr>
          <w:rFonts w:ascii="Verdana" w:eastAsia="Calibri" w:hAnsi="Verdana" w:cs="Times New Roman"/>
          <w:sz w:val="17"/>
          <w:szCs w:val="17"/>
          <w:lang w:val="tr-TR"/>
        </w:rPr>
        <w:t xml:space="preserve"> tarihli ve 5270 sayılı Ceza Muhakemesi Kanunu gereğince uzlaşma kapsamına girmeyen bir suç ile ilgili olduğunun tespit edilmesi.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4.5.</w:t>
      </w:r>
      <w:r w:rsidRPr="006B53FB">
        <w:rPr>
          <w:rFonts w:ascii="Verdana" w:eastAsia="Calibri" w:hAnsi="Verdana" w:cs="Times New Roman"/>
          <w:sz w:val="17"/>
          <w:szCs w:val="17"/>
          <w:lang w:val="tr-TR"/>
        </w:rPr>
        <w:tab/>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4.6.</w:t>
      </w:r>
      <w:r w:rsidRPr="006B53FB">
        <w:rPr>
          <w:rFonts w:ascii="Verdana" w:eastAsia="Calibri" w:hAnsi="Verdana" w:cs="Times New Roman"/>
          <w:sz w:val="17"/>
          <w:szCs w:val="17"/>
          <w:lang w:val="tr-TR"/>
        </w:rPr>
        <w:tab/>
        <w:t xml:space="preserve">Arabuluculuk faaliyeti sonunda sonun da düzenlenen tutanağa, faaliyetin sonuçlanması dışında hangi hususların yazılacağına taraflar karar veriri. Arabulucu, bu tutanak ve sonuçları konusunda taraflara gerekli açıklamaları yapar.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4.7.</w:t>
      </w:r>
      <w:r w:rsidRPr="006B53FB">
        <w:rPr>
          <w:rFonts w:ascii="Verdana" w:eastAsia="Calibri" w:hAnsi="Verdana" w:cs="Times New Roman"/>
          <w:sz w:val="17"/>
          <w:szCs w:val="17"/>
          <w:lang w:val="tr-TR"/>
        </w:rPr>
        <w:tab/>
        <w:t>Arabuluculuk süreci sırasında taraflardan birinin ölümü halinde, ara</w:t>
      </w:r>
      <w:r w:rsidR="00DA06F5" w:rsidRPr="006B53FB">
        <w:rPr>
          <w:rFonts w:ascii="Verdana" w:eastAsia="Calibri" w:hAnsi="Verdana" w:cs="Times New Roman"/>
          <w:sz w:val="17"/>
          <w:szCs w:val="17"/>
          <w:lang w:val="tr-TR"/>
        </w:rPr>
        <w:t xml:space="preserve">buluculuk faaliyeti sona erer. </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b/>
          <w:sz w:val="17"/>
          <w:szCs w:val="17"/>
          <w:highlight w:val="lightGray"/>
          <w:lang w:val="tr-TR"/>
        </w:rPr>
        <w:t>5-</w:t>
      </w:r>
      <w:r w:rsidRPr="006B53FB">
        <w:rPr>
          <w:rFonts w:ascii="Verdana" w:eastAsia="Calibri" w:hAnsi="Verdana" w:cs="Times New Roman"/>
          <w:b/>
          <w:sz w:val="17"/>
          <w:szCs w:val="17"/>
          <w:highlight w:val="lightGray"/>
          <w:lang w:val="tr-TR"/>
        </w:rPr>
        <w:tab/>
        <w:t>ARABULUCULUĞUN HUKUKİ SONUÇLARI</w:t>
      </w:r>
      <w:r w:rsidRPr="006B53FB">
        <w:rPr>
          <w:rFonts w:ascii="Verdana" w:eastAsia="Calibri" w:hAnsi="Verdana" w:cs="Times New Roman"/>
          <w:b/>
          <w:sz w:val="17"/>
          <w:szCs w:val="17"/>
          <w:highlight w:val="lightGray"/>
          <w:lang w:val="tr-TR"/>
        </w:rPr>
        <w:tab/>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5.1.</w:t>
      </w:r>
      <w:r w:rsidRPr="006B53FB">
        <w:rPr>
          <w:rFonts w:ascii="Verdana" w:eastAsia="Calibri" w:hAnsi="Verdana" w:cs="Times New Roman"/>
          <w:sz w:val="17"/>
          <w:szCs w:val="17"/>
          <w:lang w:val="tr-TR"/>
        </w:rPr>
        <w:tab/>
        <w:t xml:space="preserve">Tarafların Anlaşması: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5.1.1.</w:t>
      </w:r>
      <w:r w:rsidRPr="006B53FB">
        <w:rPr>
          <w:rFonts w:ascii="Verdana" w:eastAsia="Calibri" w:hAnsi="Verdana" w:cs="Times New Roman"/>
          <w:sz w:val="17"/>
          <w:szCs w:val="17"/>
          <w:lang w:val="tr-TR"/>
        </w:rPr>
        <w:tab/>
        <w:t>Arabuluculuk faaliyeti sonunda varılan anlaşmanın kapsamı taraflarca belirlenir, anlaşma belgesi düzenlenmesi hâlinde, bu belge taraflar ve arabulucu tarafından imzalanır.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5.1.2.</w:t>
      </w:r>
      <w:r w:rsidRPr="006B53FB">
        <w:rPr>
          <w:rFonts w:ascii="Verdana" w:eastAsia="Calibri" w:hAnsi="Verdana" w:cs="Times New Roman"/>
          <w:sz w:val="17"/>
          <w:szCs w:val="17"/>
          <w:lang w:val="tr-TR"/>
        </w:rPr>
        <w:tab/>
        <w:t>Arabuluculuk faaliyeti sonunda varılan anlaşmayanın kapsamı taraflarca belirlenir, anlaşma belgesi düzenlenmesi halinde, bu belge taraflar ve arabulucu tarafından imzalanır. Arabuluculuk faaliyeti sonunda anlaşmaya varılması hâlinde, üzerinde anlaşılan hususlar hakkında taraflarca dava açılamaz.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w:t>
      </w:r>
      <w:r w:rsidRPr="006B53FB">
        <w:rPr>
          <w:rFonts w:ascii="Verdana" w:eastAsia="Calibri" w:hAnsi="Verdana" w:cs="Times New Roman"/>
          <w:sz w:val="17"/>
          <w:szCs w:val="17"/>
          <w:lang w:val="tr-TR"/>
        </w:rPr>
        <w:tab/>
        <w:t>İcra Edilebilirlik şerhi: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5.2.1.</w:t>
      </w:r>
      <w:r w:rsidRPr="006B53FB">
        <w:rPr>
          <w:rFonts w:ascii="Verdana" w:eastAsia="Calibri" w:hAnsi="Verdana" w:cs="Times New Roman"/>
          <w:sz w:val="17"/>
          <w:szCs w:val="17"/>
          <w:lang w:val="tr-TR"/>
        </w:rPr>
        <w:tab/>
        <w:t>Taraflar, arabuluculuk faaliyeti sonunda bir anlaşmaya varılırsa, bu anlaşma belgesinin icra edilebilirliğine ilişkin şerh verilmesini talep edebilirler.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lastRenderedPageBreak/>
        <w:t>5.2.2.</w:t>
      </w:r>
      <w:r w:rsidRPr="006B53FB">
        <w:rPr>
          <w:rFonts w:ascii="Verdana" w:eastAsia="Calibri" w:hAnsi="Verdana" w:cs="Times New Roman"/>
          <w:sz w:val="17"/>
          <w:szCs w:val="17"/>
          <w:lang w:val="tr-TR"/>
        </w:rPr>
        <w:tab/>
        <w:t>Dava açılmadan önce arabuluculuğa başvurulmuşsa, anlaşmanın icra edilebilirliğine ilişkin şerh verilmesi, çekişmesiz yargıya ilişkin yetki hükümleri yanında arabulucunun görev yaptığı yer sulh hukuk mahkemesinden talep edilebilir.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5.2.3.</w:t>
      </w:r>
      <w:r w:rsidRPr="006B53FB">
        <w:rPr>
          <w:rFonts w:ascii="Verdana" w:eastAsia="Calibri" w:hAnsi="Verdana" w:cs="Times New Roman"/>
          <w:sz w:val="17"/>
          <w:szCs w:val="17"/>
          <w:lang w:val="tr-TR"/>
        </w:rPr>
        <w:tab/>
        <w:t>Davanın görülmesi sırasında arabuluculuğa başvurulması durumunda anlaşmanın icra edilebilirliğine ilişkin şerh verilmesi, davanın görüldüğü mahkemeden talep edilebilir.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5.2.4.</w:t>
      </w:r>
      <w:r w:rsidRPr="006B53FB">
        <w:rPr>
          <w:rFonts w:ascii="Verdana" w:eastAsia="Calibri" w:hAnsi="Verdana" w:cs="Times New Roman"/>
          <w:sz w:val="17"/>
          <w:szCs w:val="17"/>
          <w:lang w:val="tr-TR"/>
        </w:rPr>
        <w:tab/>
        <w:t xml:space="preserve">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w:t>
      </w:r>
      <w:r w:rsidR="003D46E4" w:rsidRPr="006B53FB">
        <w:rPr>
          <w:rFonts w:ascii="Verdana" w:eastAsia="Calibri" w:hAnsi="Verdana" w:cs="Times New Roman"/>
          <w:sz w:val="17"/>
          <w:szCs w:val="17"/>
          <w:lang w:val="tr-TR"/>
        </w:rPr>
        <w:t>vergisi de maktu olarak alınır.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5.3.</w:t>
      </w:r>
      <w:r w:rsidRPr="006B53FB">
        <w:rPr>
          <w:rFonts w:ascii="Verdana" w:eastAsia="Calibri" w:hAnsi="Verdana" w:cs="Times New Roman"/>
          <w:sz w:val="17"/>
          <w:szCs w:val="17"/>
          <w:lang w:val="tr-TR"/>
        </w:rPr>
        <w:tab/>
        <w:t>İlam Niteliğinde Sayılma</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5.3.1.</w:t>
      </w:r>
      <w:r w:rsidRPr="006B53FB">
        <w:rPr>
          <w:rFonts w:ascii="Verdana" w:eastAsia="Calibri" w:hAnsi="Verdana" w:cs="Times New Roman"/>
          <w:sz w:val="17"/>
          <w:szCs w:val="17"/>
          <w:lang w:val="tr-TR"/>
        </w:rPr>
        <w:tab/>
        <w:t>Arabuluculuk faaliyeti sonunda, anlaşma belgesinin icra edilebilirliğine ilişkin ilgili Mahkeme tarafından şerh verilmesi halinde, bu şerhi içeren anlaşma, ilam niteliğinde belge sayılır.</w:t>
      </w:r>
    </w:p>
    <w:p w:rsidR="00032495"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5.3.2.</w:t>
      </w:r>
      <w:r w:rsidRPr="006B53FB">
        <w:rPr>
          <w:rFonts w:ascii="Verdana" w:eastAsia="Calibri" w:hAnsi="Verdana" w:cs="Times New Roman"/>
          <w:sz w:val="17"/>
          <w:szCs w:val="17"/>
          <w:lang w:val="tr-TR"/>
        </w:rPr>
        <w:tab/>
      </w:r>
      <w:r w:rsidR="00032495" w:rsidRPr="00032495">
        <w:rPr>
          <w:rFonts w:ascii="Verdana" w:eastAsia="Calibri" w:hAnsi="Verdana" w:cs="Times New Roman"/>
          <w:sz w:val="17"/>
          <w:szCs w:val="17"/>
          <w:lang w:val="tr-TR"/>
        </w:rPr>
        <w:t xml:space="preserve">Kanunlarda icra edilebilirlik şerhi alınmasının zorunlu kılındığı haller hariç, </w:t>
      </w:r>
      <w:r w:rsidR="00032495" w:rsidRPr="00032495">
        <w:rPr>
          <w:rFonts w:ascii="Verdana" w:eastAsia="Calibri" w:hAnsi="Verdana" w:cs="Times New Roman"/>
          <w:b/>
          <w:sz w:val="17"/>
          <w:szCs w:val="17"/>
          <w:lang w:val="tr-TR"/>
        </w:rPr>
        <w:t>taraflar ve avukatları ile arabulucunun</w:t>
      </w:r>
      <w:r w:rsidR="00032495">
        <w:rPr>
          <w:rFonts w:ascii="Verdana" w:eastAsia="Calibri" w:hAnsi="Verdana" w:cs="Times New Roman"/>
          <w:sz w:val="17"/>
          <w:szCs w:val="17"/>
          <w:lang w:val="tr-TR"/>
        </w:rPr>
        <w:t xml:space="preserve"> (</w:t>
      </w:r>
      <w:r w:rsidR="00032495" w:rsidRPr="00032495">
        <w:rPr>
          <w:rFonts w:ascii="Verdana" w:eastAsia="Calibri" w:hAnsi="Verdana" w:cs="Times New Roman"/>
          <w:sz w:val="17"/>
          <w:szCs w:val="17"/>
          <w:lang w:val="tr-TR"/>
        </w:rPr>
        <w:t>ticari uyuşmazlıklar bakımından ise avukatlar ile arabulucunun</w:t>
      </w:r>
      <w:r w:rsidR="00032495">
        <w:rPr>
          <w:rFonts w:ascii="Verdana" w:eastAsia="Calibri" w:hAnsi="Verdana" w:cs="Times New Roman"/>
          <w:sz w:val="17"/>
          <w:szCs w:val="17"/>
          <w:lang w:val="tr-TR"/>
        </w:rPr>
        <w:t xml:space="preserve">) </w:t>
      </w:r>
      <w:r w:rsidR="00032495" w:rsidRPr="00032495">
        <w:rPr>
          <w:rFonts w:ascii="Verdana" w:eastAsia="Calibri" w:hAnsi="Verdana" w:cs="Times New Roman"/>
          <w:sz w:val="17"/>
          <w:szCs w:val="17"/>
          <w:lang w:val="tr-TR"/>
        </w:rPr>
        <w:t>” birlikte imzaladıkları anlaşma belgesi, icra edilebilirlik şerhi aranmaksızın ilam niteliğinde belge sayılır.</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b/>
          <w:sz w:val="17"/>
          <w:szCs w:val="17"/>
          <w:highlight w:val="lightGray"/>
          <w:lang w:val="tr-TR"/>
        </w:rPr>
        <w:t>6-</w:t>
      </w:r>
      <w:r w:rsidRPr="006B53FB">
        <w:rPr>
          <w:rFonts w:ascii="Verdana" w:eastAsia="Calibri" w:hAnsi="Verdana" w:cs="Times New Roman"/>
          <w:b/>
          <w:sz w:val="17"/>
          <w:szCs w:val="17"/>
          <w:highlight w:val="lightGray"/>
          <w:lang w:val="tr-TR"/>
        </w:rPr>
        <w:tab/>
        <w:t>ARABULUCULUK ÜCRETİ</w:t>
      </w:r>
      <w:r w:rsidRPr="006B53FB">
        <w:rPr>
          <w:rFonts w:ascii="Verdana" w:eastAsia="Calibri" w:hAnsi="Verdana" w:cs="Times New Roman"/>
          <w:b/>
          <w:sz w:val="17"/>
          <w:szCs w:val="17"/>
          <w:highlight w:val="lightGray"/>
          <w:lang w:val="tr-TR"/>
        </w:rPr>
        <w:tab/>
        <w:t>:</w:t>
      </w:r>
      <w:r w:rsidRPr="006B53FB">
        <w:rPr>
          <w:rFonts w:ascii="Verdana" w:eastAsia="Calibri" w:hAnsi="Verdana" w:cs="Times New Roman"/>
          <w:b/>
          <w:sz w:val="17"/>
          <w:szCs w:val="17"/>
          <w:lang w:val="tr-TR"/>
        </w:rPr>
        <w:t xml:space="preserve"> </w:t>
      </w:r>
      <w:bookmarkStart w:id="0" w:name="_GoBack"/>
      <w:bookmarkEnd w:id="0"/>
    </w:p>
    <w:p w:rsidR="00B52CD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6.1.</w:t>
      </w:r>
      <w:r w:rsidRPr="006B53FB">
        <w:rPr>
          <w:rFonts w:ascii="Verdana" w:eastAsia="Calibri" w:hAnsi="Verdana" w:cs="Times New Roman"/>
          <w:sz w:val="17"/>
          <w:szCs w:val="17"/>
          <w:lang w:val="tr-TR"/>
        </w:rPr>
        <w:tab/>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 </w:t>
      </w:r>
    </w:p>
    <w:p w:rsidR="00720A2A" w:rsidRPr="00AA6611" w:rsidRDefault="00641290" w:rsidP="00AA6611">
      <w:pPr>
        <w:ind w:right="284"/>
        <w:jc w:val="both"/>
        <w:rPr>
          <w:rFonts w:ascii="Verdana" w:eastAsia="Calibri" w:hAnsi="Verdana" w:cs="Times New Roman"/>
          <w:b/>
          <w:sz w:val="17"/>
          <w:szCs w:val="17"/>
          <w:lang w:val="tr-TR"/>
        </w:rPr>
      </w:pPr>
      <w:r>
        <w:rPr>
          <w:rFonts w:ascii="Verdana" w:eastAsia="Calibri" w:hAnsi="Verdana" w:cs="Times New Roman"/>
          <w:b/>
          <w:sz w:val="17"/>
          <w:szCs w:val="17"/>
          <w:highlight w:val="lightGray"/>
          <w:lang w:val="tr-TR"/>
        </w:rPr>
        <w:t>7</w:t>
      </w:r>
      <w:r w:rsidRPr="006B53FB">
        <w:rPr>
          <w:rFonts w:ascii="Verdana" w:eastAsia="Calibri" w:hAnsi="Verdana" w:cs="Times New Roman"/>
          <w:b/>
          <w:sz w:val="17"/>
          <w:szCs w:val="17"/>
          <w:highlight w:val="lightGray"/>
          <w:lang w:val="tr-TR"/>
        </w:rPr>
        <w:t>-</w:t>
      </w:r>
      <w:r w:rsidRPr="006B53FB">
        <w:rPr>
          <w:rFonts w:ascii="Verdana" w:eastAsia="Calibri" w:hAnsi="Verdana" w:cs="Times New Roman"/>
          <w:b/>
          <w:sz w:val="17"/>
          <w:szCs w:val="17"/>
          <w:highlight w:val="lightGray"/>
          <w:lang w:val="tr-TR"/>
        </w:rPr>
        <w:tab/>
      </w:r>
      <w:r w:rsidR="00055FCB">
        <w:rPr>
          <w:rFonts w:ascii="Verdana" w:eastAsia="Calibri" w:hAnsi="Verdana" w:cs="Times New Roman"/>
          <w:b/>
          <w:sz w:val="17"/>
          <w:szCs w:val="17"/>
          <w:highlight w:val="lightGray"/>
          <w:lang w:val="tr-TR"/>
        </w:rPr>
        <w:t xml:space="preserve">KİŞİSEL VERİLERİN </w:t>
      </w:r>
      <w:r w:rsidR="00720A2A">
        <w:rPr>
          <w:rFonts w:ascii="Verdana" w:eastAsia="Calibri" w:hAnsi="Verdana" w:cs="Times New Roman"/>
          <w:b/>
          <w:sz w:val="17"/>
          <w:szCs w:val="17"/>
          <w:highlight w:val="lightGray"/>
          <w:lang w:val="tr-TR"/>
        </w:rPr>
        <w:t xml:space="preserve">İŞLENMESİ VE </w:t>
      </w:r>
      <w:proofErr w:type="gramStart"/>
      <w:r w:rsidR="00720A2A">
        <w:rPr>
          <w:rFonts w:ascii="Verdana" w:eastAsia="Calibri" w:hAnsi="Verdana" w:cs="Times New Roman"/>
          <w:b/>
          <w:sz w:val="17"/>
          <w:szCs w:val="17"/>
          <w:highlight w:val="lightGray"/>
          <w:lang w:val="tr-TR"/>
        </w:rPr>
        <w:t xml:space="preserve">AKTARILMASINA </w:t>
      </w:r>
      <w:r w:rsidR="00055FCB">
        <w:rPr>
          <w:rFonts w:ascii="Verdana" w:eastAsia="Calibri" w:hAnsi="Verdana" w:cs="Times New Roman"/>
          <w:b/>
          <w:sz w:val="17"/>
          <w:szCs w:val="17"/>
          <w:highlight w:val="lightGray"/>
          <w:lang w:val="tr-TR"/>
        </w:rPr>
        <w:t xml:space="preserve"> İLİŞKİN</w:t>
      </w:r>
      <w:proofErr w:type="gramEnd"/>
      <w:r w:rsidR="00055FCB">
        <w:rPr>
          <w:rFonts w:ascii="Verdana" w:eastAsia="Calibri" w:hAnsi="Verdana" w:cs="Times New Roman"/>
          <w:b/>
          <w:sz w:val="17"/>
          <w:szCs w:val="17"/>
          <w:highlight w:val="lightGray"/>
          <w:lang w:val="tr-TR"/>
        </w:rPr>
        <w:t xml:space="preserve"> BİLGİLENDİRME</w:t>
      </w:r>
      <w:r w:rsidRPr="006B53FB">
        <w:rPr>
          <w:rFonts w:ascii="Verdana" w:eastAsia="Calibri" w:hAnsi="Verdana" w:cs="Times New Roman"/>
          <w:b/>
          <w:sz w:val="17"/>
          <w:szCs w:val="17"/>
          <w:highlight w:val="lightGray"/>
          <w:lang w:val="tr-TR"/>
        </w:rPr>
        <w:tab/>
        <w:t>:</w:t>
      </w:r>
      <w:r w:rsidRPr="006B53FB">
        <w:rPr>
          <w:rFonts w:ascii="Verdana" w:eastAsia="Calibri" w:hAnsi="Verdana" w:cs="Times New Roman"/>
          <w:b/>
          <w:sz w:val="17"/>
          <w:szCs w:val="17"/>
          <w:lang w:val="tr-TR"/>
        </w:rPr>
        <w:t xml:space="preserve"> </w:t>
      </w:r>
    </w:p>
    <w:p w:rsidR="00720A2A" w:rsidRPr="00720A2A" w:rsidRDefault="00720A2A" w:rsidP="00720A2A">
      <w:pPr>
        <w:contextualSpacing/>
        <w:jc w:val="both"/>
        <w:rPr>
          <w:rFonts w:ascii="Verdana" w:hAnsi="Verdana" w:cs="Times New Roman"/>
          <w:sz w:val="17"/>
          <w:szCs w:val="17"/>
          <w:lang w:val="tr-TR"/>
        </w:rPr>
      </w:pPr>
      <w:r w:rsidRPr="00720A2A">
        <w:rPr>
          <w:rFonts w:ascii="Verdana" w:hAnsi="Verdana" w:cs="Times New Roman"/>
          <w:sz w:val="17"/>
          <w:szCs w:val="17"/>
          <w:lang w:val="tr-TR"/>
        </w:rPr>
        <w:t>Ülkemizde Hukuk Uyuşmazlıklarında arabuluculuk 6325 sayılı Hukuk Uyuşmazlıklarında Arabuluculuk Kanunu (“HUAK”) ve dava şartını düzenleyen diğer kanun hükümleri ile Arabuluculuk yönetmeliği kapsamında; arabuluculuk ihtiyari, dava şartı ve dava içi olmak üzere uygulanmaktadır.</w:t>
      </w:r>
    </w:p>
    <w:p w:rsidR="00720A2A" w:rsidRDefault="00720A2A" w:rsidP="00720A2A">
      <w:pPr>
        <w:contextualSpacing/>
        <w:jc w:val="both"/>
        <w:rPr>
          <w:rFonts w:ascii="Verdana" w:hAnsi="Verdana" w:cs="Times New Roman"/>
          <w:sz w:val="17"/>
          <w:szCs w:val="17"/>
          <w:lang w:val="tr-TR"/>
        </w:rPr>
      </w:pPr>
    </w:p>
    <w:p w:rsidR="00720A2A" w:rsidRPr="00720A2A" w:rsidRDefault="00720A2A" w:rsidP="00720A2A">
      <w:pPr>
        <w:contextualSpacing/>
        <w:jc w:val="both"/>
        <w:rPr>
          <w:rFonts w:ascii="Verdana" w:hAnsi="Verdana" w:cs="Times New Roman"/>
          <w:sz w:val="17"/>
          <w:szCs w:val="17"/>
          <w:lang w:val="tr-TR"/>
        </w:rPr>
      </w:pPr>
      <w:r w:rsidRPr="00720A2A">
        <w:rPr>
          <w:rFonts w:ascii="Verdana" w:hAnsi="Verdana" w:cs="Times New Roman"/>
          <w:sz w:val="17"/>
          <w:szCs w:val="17"/>
          <w:lang w:val="tr-TR"/>
        </w:rPr>
        <w:t>Kanun ve yönetmelik hükümleri gereği kişisel verileriniz işlenmekte ve kanun / yönetmelik ve diğer mevzuat hükümleri ile sınırlı olarak işlenmekte ilgili kişi ve kurumlara aktarılmaktadır. Bu konuda tarafınızı bilgilendiriyoruz.</w:t>
      </w:r>
    </w:p>
    <w:p w:rsidR="00641290" w:rsidRPr="006B53FB" w:rsidRDefault="00720A2A" w:rsidP="00B52CDB">
      <w:pPr>
        <w:ind w:right="284"/>
        <w:jc w:val="both"/>
        <w:rPr>
          <w:rFonts w:ascii="Verdana" w:eastAsia="Calibri" w:hAnsi="Verdana" w:cs="Times New Roman"/>
          <w:sz w:val="17"/>
          <w:szCs w:val="17"/>
          <w:lang w:val="tr-TR"/>
        </w:rPr>
      </w:pPr>
      <w:r>
        <w:rPr>
          <w:rFonts w:ascii="Verdana" w:eastAsia="Calibri" w:hAnsi="Verdana" w:cs="Times New Roman"/>
          <w:sz w:val="17"/>
          <w:szCs w:val="17"/>
          <w:lang w:val="tr-TR"/>
        </w:rPr>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 xml:space="preserve">Adalet Bakanlığı Arabuluculuk Daire Başkanlığının </w:t>
      </w:r>
      <w:proofErr w:type="spellStart"/>
      <w:r w:rsidRPr="006B53FB">
        <w:rPr>
          <w:rFonts w:ascii="Verdana" w:eastAsia="Calibri" w:hAnsi="Verdana" w:cs="Times New Roman"/>
          <w:sz w:val="17"/>
          <w:szCs w:val="17"/>
          <w:lang w:val="tr-TR"/>
        </w:rPr>
        <w:t>xxxx</w:t>
      </w:r>
      <w:proofErr w:type="spellEnd"/>
      <w:r w:rsidRPr="006B53FB">
        <w:rPr>
          <w:rFonts w:ascii="Verdana" w:eastAsia="Calibri" w:hAnsi="Verdana" w:cs="Times New Roman"/>
          <w:sz w:val="17"/>
          <w:szCs w:val="17"/>
          <w:lang w:val="tr-TR"/>
        </w:rPr>
        <w:t xml:space="preserve"> Sicil numaralı Arabulucu Arb. </w:t>
      </w:r>
      <w:proofErr w:type="spellStart"/>
      <w:r w:rsidRPr="006B53FB">
        <w:rPr>
          <w:rFonts w:ascii="Verdana" w:eastAsia="Calibri" w:hAnsi="Verdana" w:cs="Times New Roman"/>
          <w:sz w:val="17"/>
          <w:szCs w:val="17"/>
          <w:lang w:val="tr-TR"/>
        </w:rPr>
        <w:t>Xxxxxxxxxxx</w:t>
      </w:r>
      <w:proofErr w:type="spellEnd"/>
      <w:r w:rsidRPr="006B53FB">
        <w:rPr>
          <w:rFonts w:ascii="Verdana" w:eastAsia="Calibri" w:hAnsi="Verdana" w:cs="Times New Roman"/>
          <w:sz w:val="17"/>
          <w:szCs w:val="17"/>
          <w:lang w:val="tr-TR"/>
        </w:rPr>
        <w:t xml:space="preserve"> XXXXXXXXX tarafından yukarıda detaylı bir şekilde yazılı olarak belirtilen ve tarafımıza sözlü olarak anlatılan yukarıdaki tüm hususları okuduk, anladık. Arabuluculuk süreci ile ilgili tarafımıza yeterli ve gerekli bilgilendirmede bulunulmuş, arabuluculuk süreci ile ilgili tüm sorularımız yanıtlanmıştır. İş bu </w:t>
      </w:r>
      <w:r w:rsidR="006B53FB">
        <w:rPr>
          <w:rFonts w:ascii="Verdana" w:eastAsia="Calibri" w:hAnsi="Verdana" w:cs="Times New Roman"/>
          <w:color w:val="FF0000"/>
          <w:sz w:val="17"/>
          <w:szCs w:val="17"/>
          <w:lang w:val="tr-TR"/>
        </w:rPr>
        <w:t>5</w:t>
      </w:r>
      <w:r w:rsidRPr="006B53FB">
        <w:rPr>
          <w:rFonts w:ascii="Verdana" w:eastAsia="Calibri" w:hAnsi="Verdana" w:cs="Times New Roman"/>
          <w:color w:val="FF0000"/>
          <w:sz w:val="17"/>
          <w:szCs w:val="17"/>
          <w:lang w:val="tr-TR"/>
        </w:rPr>
        <w:t xml:space="preserve"> </w:t>
      </w:r>
      <w:r w:rsidRPr="006B53FB">
        <w:rPr>
          <w:rFonts w:ascii="Verdana" w:eastAsia="Calibri" w:hAnsi="Verdana" w:cs="Times New Roman"/>
          <w:sz w:val="17"/>
          <w:szCs w:val="17"/>
          <w:lang w:val="tr-TR"/>
        </w:rPr>
        <w:t>sayfadan ibaret tutanak birlikte okunmuş, anlaşılmış ve imza altına alınmıştır.  00 /00/ 000</w:t>
      </w:r>
    </w:p>
    <w:p w:rsidR="00B52CDB" w:rsidRPr="006B53FB" w:rsidRDefault="00DA06F5" w:rsidP="003D46E4">
      <w:pPr>
        <w:pStyle w:val="AralkYok"/>
        <w:tabs>
          <w:tab w:val="left" w:pos="1701"/>
          <w:tab w:val="left" w:pos="1985"/>
        </w:tabs>
        <w:rPr>
          <w:rFonts w:ascii="Verdana" w:hAnsi="Verdana"/>
          <w:sz w:val="17"/>
          <w:szCs w:val="17"/>
        </w:rPr>
      </w:pPr>
      <w:r w:rsidRPr="006B53FB">
        <w:rPr>
          <w:rFonts w:ascii="Verdana" w:hAnsi="Verdana"/>
          <w:sz w:val="17"/>
          <w:szCs w:val="17"/>
        </w:rPr>
        <w:t>Arabulucu</w:t>
      </w:r>
      <w:r w:rsidRPr="006B53FB">
        <w:rPr>
          <w:rFonts w:ascii="Verdana" w:hAnsi="Verdana"/>
          <w:sz w:val="17"/>
          <w:szCs w:val="17"/>
        </w:rPr>
        <w:tab/>
        <w:t>:</w:t>
      </w:r>
      <w:r w:rsidRPr="006B53FB">
        <w:rPr>
          <w:rFonts w:ascii="Verdana" w:hAnsi="Verdana"/>
          <w:sz w:val="17"/>
          <w:szCs w:val="17"/>
        </w:rPr>
        <w:tab/>
        <w:t xml:space="preserve"> </w:t>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B52CDB" w:rsidRPr="006B53FB">
        <w:rPr>
          <w:rFonts w:ascii="Verdana" w:hAnsi="Verdana"/>
          <w:sz w:val="17"/>
          <w:szCs w:val="17"/>
        </w:rPr>
        <w:tab/>
      </w:r>
    </w:p>
    <w:p w:rsidR="003D46E4" w:rsidRPr="006B53FB" w:rsidRDefault="003D46E4" w:rsidP="003D46E4">
      <w:pPr>
        <w:pStyle w:val="AralkYok"/>
        <w:tabs>
          <w:tab w:val="left" w:pos="1701"/>
          <w:tab w:val="left" w:pos="1985"/>
        </w:tabs>
        <w:rPr>
          <w:rFonts w:ascii="Verdana" w:hAnsi="Verdana"/>
          <w:sz w:val="17"/>
          <w:szCs w:val="17"/>
        </w:rPr>
      </w:pPr>
    </w:p>
    <w:p w:rsidR="00B52CDB" w:rsidRPr="006B53FB" w:rsidRDefault="0017722E" w:rsidP="003D46E4">
      <w:pPr>
        <w:pStyle w:val="AralkYok"/>
        <w:tabs>
          <w:tab w:val="left" w:pos="1701"/>
          <w:tab w:val="left" w:pos="1985"/>
        </w:tabs>
        <w:rPr>
          <w:rFonts w:ascii="Verdana" w:hAnsi="Verdana"/>
          <w:sz w:val="17"/>
          <w:szCs w:val="17"/>
        </w:rPr>
      </w:pPr>
      <w:r>
        <w:rPr>
          <w:rFonts w:ascii="Verdana" w:hAnsi="Verdana"/>
          <w:sz w:val="17"/>
          <w:szCs w:val="17"/>
        </w:rPr>
        <w:t>Başvuran Taraf (1)</w:t>
      </w:r>
      <w:r w:rsidR="00B52CDB" w:rsidRPr="006B53FB">
        <w:rPr>
          <w:rFonts w:ascii="Verdana" w:hAnsi="Verdana"/>
          <w:sz w:val="17"/>
          <w:szCs w:val="17"/>
        </w:rPr>
        <w:t xml:space="preserve"> </w:t>
      </w:r>
      <w:r w:rsidR="00B52CDB" w:rsidRPr="006B53FB">
        <w:rPr>
          <w:rFonts w:ascii="Verdana" w:hAnsi="Verdana"/>
          <w:sz w:val="17"/>
          <w:szCs w:val="17"/>
        </w:rPr>
        <w:tab/>
        <w:t>:</w:t>
      </w:r>
      <w:r w:rsidR="00B52CDB" w:rsidRPr="006B53FB">
        <w:rPr>
          <w:rFonts w:ascii="Verdana" w:hAnsi="Verdana"/>
          <w:sz w:val="17"/>
          <w:szCs w:val="17"/>
        </w:rPr>
        <w:tab/>
        <w:t xml:space="preserve">  </w:t>
      </w:r>
    </w:p>
    <w:p w:rsidR="00B52CDB" w:rsidRPr="006B53FB" w:rsidRDefault="00DA06F5" w:rsidP="003D46E4">
      <w:pPr>
        <w:pStyle w:val="AralkYok"/>
        <w:tabs>
          <w:tab w:val="left" w:pos="1701"/>
          <w:tab w:val="left" w:pos="1985"/>
        </w:tabs>
        <w:rPr>
          <w:rFonts w:ascii="Verdana" w:hAnsi="Verdana"/>
          <w:sz w:val="17"/>
          <w:szCs w:val="17"/>
        </w:rPr>
      </w:pPr>
      <w:r w:rsidRPr="006B53FB">
        <w:rPr>
          <w:rFonts w:ascii="Verdana" w:hAnsi="Verdana"/>
          <w:sz w:val="17"/>
          <w:szCs w:val="17"/>
        </w:rPr>
        <w:t>Vekili</w:t>
      </w:r>
      <w:r w:rsidRPr="006B53FB">
        <w:rPr>
          <w:rFonts w:ascii="Verdana" w:hAnsi="Verdana"/>
          <w:sz w:val="17"/>
          <w:szCs w:val="17"/>
        </w:rPr>
        <w:tab/>
        <w:t>:</w:t>
      </w:r>
      <w:r w:rsidRPr="006B53FB">
        <w:rPr>
          <w:rFonts w:ascii="Verdana" w:hAnsi="Verdana"/>
          <w:sz w:val="17"/>
          <w:szCs w:val="17"/>
        </w:rPr>
        <w:tab/>
        <w:t xml:space="preserve"> </w:t>
      </w:r>
    </w:p>
    <w:p w:rsidR="003D46E4" w:rsidRPr="006B53FB" w:rsidRDefault="003D46E4" w:rsidP="003D46E4">
      <w:pPr>
        <w:pStyle w:val="AralkYok"/>
        <w:tabs>
          <w:tab w:val="left" w:pos="1701"/>
          <w:tab w:val="left" w:pos="1985"/>
        </w:tabs>
        <w:rPr>
          <w:rFonts w:ascii="Verdana" w:hAnsi="Verdana"/>
          <w:sz w:val="17"/>
          <w:szCs w:val="17"/>
        </w:rPr>
      </w:pPr>
    </w:p>
    <w:p w:rsidR="00B52CDB" w:rsidRPr="006B53FB" w:rsidRDefault="0017722E" w:rsidP="003D46E4">
      <w:pPr>
        <w:pStyle w:val="AralkYok"/>
        <w:tabs>
          <w:tab w:val="left" w:pos="1701"/>
          <w:tab w:val="left" w:pos="1985"/>
        </w:tabs>
        <w:rPr>
          <w:rFonts w:ascii="Verdana" w:hAnsi="Verdana"/>
          <w:sz w:val="17"/>
          <w:szCs w:val="17"/>
        </w:rPr>
      </w:pPr>
      <w:r>
        <w:rPr>
          <w:rFonts w:ascii="Verdana" w:hAnsi="Verdana"/>
          <w:sz w:val="17"/>
          <w:szCs w:val="17"/>
        </w:rPr>
        <w:t>Diğer Taraf-  (2)</w:t>
      </w:r>
      <w:r w:rsidR="00B52CDB" w:rsidRPr="006B53FB">
        <w:rPr>
          <w:rFonts w:ascii="Verdana" w:hAnsi="Verdana"/>
          <w:sz w:val="17"/>
          <w:szCs w:val="17"/>
        </w:rPr>
        <w:tab/>
        <w:t xml:space="preserve">:  </w:t>
      </w:r>
      <w:r w:rsidR="00B52CDB" w:rsidRPr="006B53FB">
        <w:rPr>
          <w:rFonts w:ascii="Verdana" w:hAnsi="Verdana"/>
          <w:sz w:val="17"/>
          <w:szCs w:val="17"/>
        </w:rPr>
        <w:tab/>
        <w:t xml:space="preserve"> </w:t>
      </w:r>
    </w:p>
    <w:p w:rsidR="00B52CDB" w:rsidRPr="006B53FB" w:rsidRDefault="00B52CDB" w:rsidP="00AA6611">
      <w:pPr>
        <w:pStyle w:val="AralkYok"/>
        <w:tabs>
          <w:tab w:val="left" w:pos="1701"/>
          <w:tab w:val="left" w:pos="1985"/>
        </w:tabs>
        <w:rPr>
          <w:rFonts w:ascii="Verdana" w:hAnsi="Verdana"/>
          <w:sz w:val="17"/>
          <w:szCs w:val="17"/>
        </w:rPr>
      </w:pPr>
      <w:r w:rsidRPr="006B53FB">
        <w:rPr>
          <w:rFonts w:ascii="Verdana" w:hAnsi="Verdana"/>
          <w:sz w:val="17"/>
          <w:szCs w:val="17"/>
        </w:rPr>
        <w:t>Vekili</w:t>
      </w:r>
      <w:r w:rsidRPr="006B53FB">
        <w:rPr>
          <w:rFonts w:ascii="Verdana" w:hAnsi="Verdana"/>
          <w:sz w:val="17"/>
          <w:szCs w:val="17"/>
        </w:rPr>
        <w:tab/>
        <w:t>:</w:t>
      </w:r>
      <w:r w:rsidRPr="006B53FB">
        <w:rPr>
          <w:rFonts w:ascii="Verdana" w:hAnsi="Verdana"/>
          <w:sz w:val="17"/>
          <w:szCs w:val="17"/>
        </w:rPr>
        <w:tab/>
        <w:t xml:space="preserve"> </w:t>
      </w:r>
    </w:p>
    <w:sectPr w:rsidR="00B52CDB" w:rsidRPr="006B53FB" w:rsidSect="005D2BF3">
      <w:headerReference w:type="default" r:id="rId10"/>
      <w:footerReference w:type="default" r:id="rId11"/>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B7" w:rsidRDefault="00B501B7">
      <w:pPr>
        <w:spacing w:after="0" w:line="240" w:lineRule="auto"/>
      </w:pPr>
      <w:r>
        <w:separator/>
      </w:r>
    </w:p>
  </w:endnote>
  <w:endnote w:type="continuationSeparator" w:id="0">
    <w:p w:rsidR="00B501B7" w:rsidRDefault="00B5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032495" w:rsidRPr="00032495">
      <w:rPr>
        <w:rFonts w:asciiTheme="majorHAnsi" w:eastAsiaTheme="majorEastAsia" w:hAnsiTheme="majorHAnsi" w:cstheme="majorBidi"/>
        <w:noProof/>
        <w:lang w:val="tr-TR"/>
      </w:rPr>
      <w:t>5</w:t>
    </w:r>
    <w:r>
      <w:rPr>
        <w:rFonts w:asciiTheme="majorHAnsi" w:eastAsiaTheme="majorEastAsia" w:hAnsiTheme="majorHAnsi" w:cstheme="majorBidi"/>
      </w:rPr>
      <w:fldChar w:fldCharType="end"/>
    </w:r>
  </w:p>
  <w:p w:rsidR="006B6B78" w:rsidRPr="006B4D8A" w:rsidRDefault="00032495"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B7" w:rsidRDefault="00B501B7">
      <w:pPr>
        <w:spacing w:after="0" w:line="240" w:lineRule="auto"/>
      </w:pPr>
      <w:r>
        <w:separator/>
      </w:r>
    </w:p>
  </w:footnote>
  <w:footnote w:type="continuationSeparator" w:id="0">
    <w:p w:rsidR="00B501B7" w:rsidRDefault="00B50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032495"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809202000"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32495"/>
    <w:rsid w:val="00033591"/>
    <w:rsid w:val="00055FCB"/>
    <w:rsid w:val="000823DF"/>
    <w:rsid w:val="0008721B"/>
    <w:rsid w:val="00090E88"/>
    <w:rsid w:val="000F209A"/>
    <w:rsid w:val="00114B99"/>
    <w:rsid w:val="00133887"/>
    <w:rsid w:val="001411B8"/>
    <w:rsid w:val="001446A0"/>
    <w:rsid w:val="00147F42"/>
    <w:rsid w:val="00164C36"/>
    <w:rsid w:val="0017722E"/>
    <w:rsid w:val="00182D2D"/>
    <w:rsid w:val="00195802"/>
    <w:rsid w:val="001B459D"/>
    <w:rsid w:val="001D6629"/>
    <w:rsid w:val="00201ECE"/>
    <w:rsid w:val="002242C0"/>
    <w:rsid w:val="00231D85"/>
    <w:rsid w:val="00243EFB"/>
    <w:rsid w:val="00244E12"/>
    <w:rsid w:val="00255148"/>
    <w:rsid w:val="00274F12"/>
    <w:rsid w:val="002C0902"/>
    <w:rsid w:val="00323813"/>
    <w:rsid w:val="00335874"/>
    <w:rsid w:val="00335ABA"/>
    <w:rsid w:val="003375A9"/>
    <w:rsid w:val="00340A97"/>
    <w:rsid w:val="003415A0"/>
    <w:rsid w:val="00345F17"/>
    <w:rsid w:val="003631C0"/>
    <w:rsid w:val="00364174"/>
    <w:rsid w:val="003773A1"/>
    <w:rsid w:val="003A132A"/>
    <w:rsid w:val="003C21A4"/>
    <w:rsid w:val="003D46E4"/>
    <w:rsid w:val="003E2C46"/>
    <w:rsid w:val="003F51D7"/>
    <w:rsid w:val="00405316"/>
    <w:rsid w:val="00405B16"/>
    <w:rsid w:val="0045523D"/>
    <w:rsid w:val="004725C8"/>
    <w:rsid w:val="004D1E11"/>
    <w:rsid w:val="0050020B"/>
    <w:rsid w:val="0051394B"/>
    <w:rsid w:val="00540AA5"/>
    <w:rsid w:val="00540C6B"/>
    <w:rsid w:val="0055675F"/>
    <w:rsid w:val="00587455"/>
    <w:rsid w:val="005E5FA1"/>
    <w:rsid w:val="006361C5"/>
    <w:rsid w:val="00641144"/>
    <w:rsid w:val="00641290"/>
    <w:rsid w:val="00661855"/>
    <w:rsid w:val="00696182"/>
    <w:rsid w:val="006A2BE7"/>
    <w:rsid w:val="006A4896"/>
    <w:rsid w:val="006A66BC"/>
    <w:rsid w:val="006B53FB"/>
    <w:rsid w:val="00720A2A"/>
    <w:rsid w:val="00733812"/>
    <w:rsid w:val="0074747C"/>
    <w:rsid w:val="00757A92"/>
    <w:rsid w:val="007715D0"/>
    <w:rsid w:val="007733D8"/>
    <w:rsid w:val="007C0655"/>
    <w:rsid w:val="008132C0"/>
    <w:rsid w:val="00814DE9"/>
    <w:rsid w:val="008152DF"/>
    <w:rsid w:val="00817CF9"/>
    <w:rsid w:val="008538C5"/>
    <w:rsid w:val="00861BCD"/>
    <w:rsid w:val="008849CD"/>
    <w:rsid w:val="008A0537"/>
    <w:rsid w:val="008A2004"/>
    <w:rsid w:val="008A7AD1"/>
    <w:rsid w:val="008C2489"/>
    <w:rsid w:val="008E13F3"/>
    <w:rsid w:val="008E6239"/>
    <w:rsid w:val="008F3539"/>
    <w:rsid w:val="009260B4"/>
    <w:rsid w:val="00931916"/>
    <w:rsid w:val="009D7746"/>
    <w:rsid w:val="00A32E89"/>
    <w:rsid w:val="00A47159"/>
    <w:rsid w:val="00A53914"/>
    <w:rsid w:val="00A54833"/>
    <w:rsid w:val="00A66DE8"/>
    <w:rsid w:val="00A8370B"/>
    <w:rsid w:val="00AA6611"/>
    <w:rsid w:val="00AC75C4"/>
    <w:rsid w:val="00B10C62"/>
    <w:rsid w:val="00B3042D"/>
    <w:rsid w:val="00B37862"/>
    <w:rsid w:val="00B501B7"/>
    <w:rsid w:val="00B520C6"/>
    <w:rsid w:val="00B52CDB"/>
    <w:rsid w:val="00B579E2"/>
    <w:rsid w:val="00B73319"/>
    <w:rsid w:val="00B80BE9"/>
    <w:rsid w:val="00BA60B0"/>
    <w:rsid w:val="00C121B3"/>
    <w:rsid w:val="00C260A9"/>
    <w:rsid w:val="00C66BF9"/>
    <w:rsid w:val="00C723CA"/>
    <w:rsid w:val="00CA7C8F"/>
    <w:rsid w:val="00CB1311"/>
    <w:rsid w:val="00CC566B"/>
    <w:rsid w:val="00D14F08"/>
    <w:rsid w:val="00D32416"/>
    <w:rsid w:val="00D523F4"/>
    <w:rsid w:val="00D80AA5"/>
    <w:rsid w:val="00DA06F5"/>
    <w:rsid w:val="00DB4637"/>
    <w:rsid w:val="00DB58FF"/>
    <w:rsid w:val="00DC1FE3"/>
    <w:rsid w:val="00DE2CB4"/>
    <w:rsid w:val="00DE708A"/>
    <w:rsid w:val="00DF049F"/>
    <w:rsid w:val="00E20849"/>
    <w:rsid w:val="00E3293D"/>
    <w:rsid w:val="00E358BD"/>
    <w:rsid w:val="00E64890"/>
    <w:rsid w:val="00E73952"/>
    <w:rsid w:val="00EB448B"/>
    <w:rsid w:val="00EB7F37"/>
    <w:rsid w:val="00EC4A95"/>
    <w:rsid w:val="00EC5CF2"/>
    <w:rsid w:val="00ED1025"/>
    <w:rsid w:val="00EF368A"/>
    <w:rsid w:val="00F222E9"/>
    <w:rsid w:val="00F569CC"/>
    <w:rsid w:val="00FD5B24"/>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BAAB-73B0-42FE-937B-3DA718B2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2678</Words>
  <Characters>15267</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TEKHUKUK</cp:lastModifiedBy>
  <cp:revision>9</cp:revision>
  <cp:lastPrinted>2020-12-28T12:25:00Z</cp:lastPrinted>
  <dcterms:created xsi:type="dcterms:W3CDTF">2022-08-27T12:01:00Z</dcterms:created>
  <dcterms:modified xsi:type="dcterms:W3CDTF">2025-05-19T20:20:00Z</dcterms:modified>
</cp:coreProperties>
</file>