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C5" w:rsidRPr="00727490" w:rsidRDefault="002A22C5" w:rsidP="002A22C5">
      <w:pPr>
        <w:pStyle w:val="AralkYok"/>
        <w:rPr>
          <w:rFonts w:ascii="Verdana" w:hAnsi="Verdana"/>
          <w:sz w:val="16"/>
          <w:szCs w:val="16"/>
        </w:rPr>
      </w:pPr>
      <w:r w:rsidRPr="00727490">
        <w:rPr>
          <w:noProof/>
          <w:sz w:val="16"/>
          <w:szCs w:val="16"/>
          <w:lang w:eastAsia="tr-TR"/>
        </w:rPr>
        <w:drawing>
          <wp:inline distT="0" distB="0" distL="0" distR="0" wp14:anchorId="0602E48C" wp14:editId="380691C5">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81680B" w:rsidRPr="00727490" w:rsidRDefault="0081680B" w:rsidP="0081680B">
      <w:pPr>
        <w:pStyle w:val="AralkYok"/>
        <w:rPr>
          <w:sz w:val="16"/>
          <w:szCs w:val="16"/>
        </w:rPr>
      </w:pPr>
      <w:r w:rsidRPr="00727490">
        <w:rPr>
          <w:sz w:val="16"/>
          <w:szCs w:val="16"/>
        </w:rPr>
        <w:t>PANORAMA ARABULUCULUK MERKEZİ</w:t>
      </w:r>
    </w:p>
    <w:p w:rsidR="002A22C5" w:rsidRPr="00727490" w:rsidRDefault="002A22C5" w:rsidP="002A22C5">
      <w:pPr>
        <w:pStyle w:val="AralkYok"/>
        <w:rPr>
          <w:rFonts w:ascii="Verdana" w:hAnsi="Verdana"/>
          <w:sz w:val="16"/>
          <w:szCs w:val="16"/>
        </w:rPr>
      </w:pPr>
    </w:p>
    <w:p w:rsidR="00540C6B" w:rsidRPr="00727490" w:rsidRDefault="003F51D7" w:rsidP="00540C6B">
      <w:pPr>
        <w:ind w:right="284"/>
        <w:jc w:val="center"/>
        <w:rPr>
          <w:rFonts w:ascii="Verdana" w:eastAsia="Calibri" w:hAnsi="Verdana" w:cs="Times New Roman"/>
          <w:b/>
          <w:sz w:val="16"/>
          <w:szCs w:val="16"/>
          <w:lang w:val="tr-TR"/>
        </w:rPr>
      </w:pPr>
      <w:r w:rsidRPr="00727490">
        <w:rPr>
          <w:rFonts w:ascii="Verdana" w:eastAsia="Calibri" w:hAnsi="Verdana" w:cs="Times New Roman"/>
          <w:b/>
          <w:sz w:val="16"/>
          <w:szCs w:val="16"/>
          <w:lang w:val="tr-TR"/>
        </w:rPr>
        <w:t xml:space="preserve">ARABULUCULUK </w:t>
      </w:r>
      <w:r w:rsidR="00540C6B" w:rsidRPr="00727490">
        <w:rPr>
          <w:rFonts w:ascii="Verdana" w:eastAsia="Calibri" w:hAnsi="Verdana" w:cs="Times New Roman"/>
          <w:b/>
          <w:sz w:val="16"/>
          <w:szCs w:val="16"/>
          <w:lang w:val="tr-TR"/>
        </w:rPr>
        <w:t>BİLGİLENDİRME TUTANAĞI</w:t>
      </w:r>
    </w:p>
    <w:p w:rsidR="00540C6B" w:rsidRPr="00727490" w:rsidRDefault="00540C6B" w:rsidP="00540C6B">
      <w:p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İşbu bilgilendirme tutanağı 6325 sayılı Hukuk Uyuşmazlıkları</w:t>
      </w:r>
      <w:r w:rsidR="004725C8" w:rsidRPr="00727490">
        <w:rPr>
          <w:rFonts w:ascii="Verdana" w:eastAsia="Calibri" w:hAnsi="Verdana" w:cs="Times New Roman"/>
          <w:sz w:val="16"/>
          <w:szCs w:val="16"/>
          <w:lang w:val="tr-TR"/>
        </w:rPr>
        <w:t>nda Arabuluculuk Kanununun 11. m</w:t>
      </w:r>
      <w:r w:rsidRPr="00727490">
        <w:rPr>
          <w:rFonts w:ascii="Verdana" w:eastAsia="Calibri" w:hAnsi="Verdana" w:cs="Times New Roman"/>
          <w:sz w:val="16"/>
          <w:szCs w:val="16"/>
          <w:lang w:val="tr-TR"/>
        </w:rPr>
        <w:t>addesi ve Hukuk Uyuşmazlıklarında</w:t>
      </w:r>
      <w:r w:rsidR="008849CD" w:rsidRPr="00727490">
        <w:rPr>
          <w:rFonts w:ascii="Verdana" w:eastAsia="Calibri" w:hAnsi="Verdana" w:cs="Times New Roman"/>
          <w:sz w:val="16"/>
          <w:szCs w:val="16"/>
          <w:lang w:val="tr-TR"/>
        </w:rPr>
        <w:t xml:space="preserve"> Arabuluculuk Yönetmeliği</w:t>
      </w:r>
      <w:r w:rsidRPr="00727490">
        <w:rPr>
          <w:rFonts w:ascii="Verdana" w:eastAsia="Calibri" w:hAnsi="Verdana" w:cs="Times New Roman"/>
          <w:sz w:val="16"/>
          <w:szCs w:val="16"/>
          <w:lang w:val="tr-TR"/>
        </w:rPr>
        <w:t xml:space="preserve"> </w:t>
      </w:r>
      <w:r w:rsidR="00FF627C" w:rsidRPr="00727490">
        <w:rPr>
          <w:rFonts w:ascii="Verdana" w:eastAsia="Calibri" w:hAnsi="Verdana" w:cs="Times New Roman"/>
          <w:sz w:val="16"/>
          <w:szCs w:val="16"/>
          <w:lang w:val="tr-TR"/>
        </w:rPr>
        <w:t xml:space="preserve">13. maddesi </w:t>
      </w:r>
      <w:r w:rsidRPr="00727490">
        <w:rPr>
          <w:rFonts w:ascii="Verdana" w:eastAsia="Calibri" w:hAnsi="Verdana" w:cs="Times New Roman"/>
          <w:sz w:val="16"/>
          <w:szCs w:val="16"/>
          <w:lang w:val="tr-TR"/>
        </w:rPr>
        <w:t xml:space="preserve">gereğince, arabuluculuk faaliyetinin başında, tarafları arabuluculuğun esasları, süreci ve hukuki sonuçları hakkında, </w:t>
      </w:r>
      <w:r w:rsidR="008849CD" w:rsidRPr="00727490">
        <w:rPr>
          <w:rFonts w:ascii="Verdana" w:eastAsia="Calibri" w:hAnsi="Verdana" w:cs="Times New Roman"/>
          <w:sz w:val="16"/>
          <w:szCs w:val="16"/>
          <w:lang w:val="tr-TR"/>
        </w:rPr>
        <w:t xml:space="preserve"> </w:t>
      </w:r>
      <w:r w:rsidRPr="00727490">
        <w:rPr>
          <w:rFonts w:ascii="Verdana" w:eastAsia="Calibri" w:hAnsi="Verdana" w:cs="Times New Roman"/>
          <w:sz w:val="16"/>
          <w:szCs w:val="16"/>
          <w:lang w:val="tr-TR"/>
        </w:rPr>
        <w:t xml:space="preserve">şahsen ve doğrudan bilgilendirme amacıyla hazırlanmıştır. </w:t>
      </w:r>
    </w:p>
    <w:p w:rsidR="00540C6B" w:rsidRPr="00727490" w:rsidRDefault="00540C6B" w:rsidP="003F51D7">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727490">
        <w:rPr>
          <w:rFonts w:ascii="Verdana" w:eastAsia="Calibri" w:hAnsi="Verdana" w:cs="Times New Roman"/>
          <w:b/>
          <w:sz w:val="16"/>
          <w:szCs w:val="16"/>
          <w:highlight w:val="lightGray"/>
          <w:u w:val="single"/>
          <w:lang w:val="tr-TR"/>
        </w:rPr>
        <w:t>TANIMLAR</w:t>
      </w:r>
      <w:r w:rsidR="003F51D7" w:rsidRPr="00727490">
        <w:rPr>
          <w:rFonts w:ascii="Verdana" w:eastAsia="Calibri" w:hAnsi="Verdana" w:cs="Times New Roman"/>
          <w:b/>
          <w:sz w:val="16"/>
          <w:szCs w:val="16"/>
          <w:highlight w:val="lightGray"/>
          <w:u w:val="single"/>
          <w:lang w:val="tr-TR"/>
        </w:rPr>
        <w:tab/>
        <w:t>:</w:t>
      </w:r>
    </w:p>
    <w:p w:rsidR="00DE708A" w:rsidRPr="00727490" w:rsidRDefault="00DE708A" w:rsidP="00727490">
      <w:pPr>
        <w:ind w:left="709" w:right="284" w:hanging="709"/>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1.1.</w:t>
      </w:r>
      <w:r w:rsidRPr="00727490">
        <w:rPr>
          <w:rFonts w:ascii="Verdana" w:eastAsia="Calibri" w:hAnsi="Verdana" w:cs="Times New Roman"/>
          <w:sz w:val="16"/>
          <w:szCs w:val="16"/>
          <w:lang w:val="tr-TR"/>
        </w:rPr>
        <w:tab/>
      </w:r>
      <w:r w:rsidR="00540C6B" w:rsidRPr="00727490">
        <w:rPr>
          <w:rFonts w:ascii="Verdana" w:eastAsia="Calibri" w:hAnsi="Verdana" w:cs="Times New Roman"/>
          <w:sz w:val="16"/>
          <w:szCs w:val="16"/>
          <w:lang w:val="tr-TR"/>
        </w:rPr>
        <w:t>Arabulucu: Arabuluculuk faaliyetini yürüten ve Bakanlıkça düzenlenen arabulucular siciline kaydedilmiş bulunan gerçek kişiyi,</w:t>
      </w:r>
    </w:p>
    <w:p w:rsidR="00757A92" w:rsidRPr="00727490" w:rsidRDefault="00DE708A" w:rsidP="00DE708A">
      <w:pPr>
        <w:ind w:left="709" w:right="284" w:hanging="709"/>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1.2.</w:t>
      </w:r>
      <w:r w:rsidR="002242C0" w:rsidRPr="00727490">
        <w:rPr>
          <w:rFonts w:ascii="Verdana" w:eastAsia="Calibri" w:hAnsi="Verdana" w:cs="Times New Roman"/>
          <w:sz w:val="16"/>
          <w:szCs w:val="16"/>
          <w:lang w:val="tr-TR"/>
        </w:rPr>
        <w:t xml:space="preserve"> </w:t>
      </w:r>
      <w:r w:rsidRPr="00727490">
        <w:rPr>
          <w:rFonts w:ascii="Verdana" w:eastAsia="Calibri" w:hAnsi="Verdana" w:cs="Times New Roman"/>
          <w:sz w:val="16"/>
          <w:szCs w:val="16"/>
          <w:lang w:val="tr-TR"/>
        </w:rPr>
        <w:tab/>
      </w:r>
      <w:r w:rsidR="00540C6B" w:rsidRPr="00727490">
        <w:rPr>
          <w:rFonts w:ascii="Verdana" w:eastAsia="Calibri" w:hAnsi="Verdana" w:cs="Times New Roman"/>
          <w:sz w:val="16"/>
          <w:szCs w:val="16"/>
          <w:lang w:val="tr-TR"/>
        </w:rPr>
        <w:t xml:space="preserve">Arabuluculuk: </w:t>
      </w:r>
      <w:r w:rsidR="00757A92" w:rsidRPr="00727490">
        <w:rPr>
          <w:rFonts w:ascii="Verdana" w:eastAsia="Calibri" w:hAnsi="Verdana" w:cs="Times New Roman"/>
          <w:sz w:val="16"/>
          <w:szCs w:val="16"/>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00757A92" w:rsidRPr="00727490">
        <w:rPr>
          <w:rFonts w:ascii="Verdana" w:eastAsia="Calibri" w:hAnsi="Verdana" w:cs="Times New Roman"/>
          <w:sz w:val="16"/>
          <w:szCs w:val="16"/>
          <w:lang w:val="tr-TR"/>
        </w:rPr>
        <w:t xml:space="preserve">ortaya </w:t>
      </w:r>
      <w:r w:rsidR="00C66BF9" w:rsidRPr="00727490">
        <w:rPr>
          <w:rFonts w:ascii="Verdana" w:eastAsia="Calibri" w:hAnsi="Verdana" w:cs="Times New Roman"/>
          <w:sz w:val="16"/>
          <w:szCs w:val="16"/>
          <w:lang w:val="tr-TR"/>
        </w:rPr>
        <w:t xml:space="preserve"> </w:t>
      </w:r>
      <w:r w:rsidR="00757A92" w:rsidRPr="00727490">
        <w:rPr>
          <w:rFonts w:ascii="Verdana" w:eastAsia="Calibri" w:hAnsi="Verdana" w:cs="Times New Roman"/>
          <w:sz w:val="16"/>
          <w:szCs w:val="16"/>
          <w:lang w:val="tr-TR"/>
        </w:rPr>
        <w:t>çıkması</w:t>
      </w:r>
      <w:proofErr w:type="gramEnd"/>
      <w:r w:rsidR="00757A92" w:rsidRPr="00727490">
        <w:rPr>
          <w:rFonts w:ascii="Verdana" w:eastAsia="Calibri" w:hAnsi="Verdana" w:cs="Times New Roman"/>
          <w:sz w:val="16"/>
          <w:szCs w:val="16"/>
          <w:lang w:val="tr-TR"/>
        </w:rPr>
        <w:t xml:space="preserve"> hâlinde çözüm önerisi de getirebilen, uzmanlık eğitimi almış olan tarafsız ve bağımsız bir üçüncü kişinin katılımıyla ve kamu hizmeti olarak yürütülen ihtiyari bir uyuşmazlık çözüm yöntemini,</w:t>
      </w:r>
    </w:p>
    <w:p w:rsidR="008E13F3" w:rsidRPr="00727490" w:rsidRDefault="00540C6B" w:rsidP="00AC75C4">
      <w:pPr>
        <w:pStyle w:val="ListeParagraf"/>
        <w:numPr>
          <w:ilvl w:val="0"/>
          <w:numId w:val="5"/>
        </w:numPr>
        <w:tabs>
          <w:tab w:val="left" w:pos="6804"/>
        </w:tabs>
        <w:ind w:right="284"/>
        <w:rPr>
          <w:rFonts w:ascii="Verdana" w:eastAsia="Calibri" w:hAnsi="Verdana" w:cs="Times New Roman"/>
          <w:b/>
          <w:sz w:val="16"/>
          <w:szCs w:val="16"/>
          <w:highlight w:val="lightGray"/>
          <w:u w:val="single"/>
          <w:lang w:val="tr-TR"/>
        </w:rPr>
      </w:pPr>
      <w:r w:rsidRPr="00727490">
        <w:rPr>
          <w:rFonts w:ascii="Verdana" w:eastAsia="Calibri" w:hAnsi="Verdana" w:cs="Times New Roman"/>
          <w:b/>
          <w:sz w:val="16"/>
          <w:szCs w:val="16"/>
          <w:highlight w:val="lightGray"/>
          <w:u w:val="single"/>
          <w:lang w:val="tr-TR"/>
        </w:rPr>
        <w:t>ARABULUCULUĞUN ESASLARI VE ARABULUCULUK SÜRECİ</w:t>
      </w:r>
      <w:r w:rsidR="003F51D7" w:rsidRPr="00727490">
        <w:rPr>
          <w:rFonts w:ascii="Verdana" w:eastAsia="Calibri" w:hAnsi="Verdana" w:cs="Times New Roman"/>
          <w:b/>
          <w:sz w:val="16"/>
          <w:szCs w:val="16"/>
          <w:highlight w:val="lightGray"/>
          <w:u w:val="single"/>
          <w:lang w:val="tr-TR"/>
        </w:rPr>
        <w:tab/>
      </w:r>
      <w:r w:rsidRPr="00727490">
        <w:rPr>
          <w:rFonts w:ascii="Verdana" w:eastAsia="Calibri" w:hAnsi="Verdana" w:cs="Times New Roman"/>
          <w:b/>
          <w:sz w:val="16"/>
          <w:szCs w:val="16"/>
          <w:highlight w:val="lightGray"/>
          <w:u w:val="single"/>
          <w:lang w:val="tr-TR"/>
        </w:rPr>
        <w:t xml:space="preserve">: </w:t>
      </w:r>
    </w:p>
    <w:p w:rsidR="0008721B" w:rsidRPr="00727490" w:rsidRDefault="0008721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Arabuluculuk süreci, dava açılmadan önce arabulucuya başvuru hâlinde, </w:t>
      </w:r>
      <w:r w:rsidRPr="00727490">
        <w:rPr>
          <w:rFonts w:ascii="Verdana" w:eastAsia="Calibri" w:hAnsi="Verdana"/>
          <w:b/>
          <w:sz w:val="16"/>
          <w:szCs w:val="16"/>
          <w:lang w:val="tr-TR"/>
        </w:rPr>
        <w:t>tarafların ilk toplantıya davet edilmeleri ve taraflarla arabulucu arasında sürecin devam ettirilmesi konusunda anlaşmaya varılıp bu durumun bir tutanakla belgelendirildiği tarihten itibaren işlemeye başlar.</w:t>
      </w:r>
      <w:r w:rsidRPr="00727490">
        <w:rPr>
          <w:rFonts w:ascii="Verdana" w:eastAsia="Calibri" w:hAnsi="Verdana"/>
          <w:sz w:val="16"/>
          <w:szCs w:val="16"/>
          <w:lang w:val="tr-TR"/>
        </w:rPr>
        <w:t xml:space="preserve">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6A2BE7" w:rsidRPr="00727490" w:rsidRDefault="0008721B" w:rsidP="00A47159">
      <w:pPr>
        <w:pStyle w:val="GvdeMetni"/>
        <w:numPr>
          <w:ilvl w:val="1"/>
          <w:numId w:val="10"/>
        </w:numPr>
        <w:tabs>
          <w:tab w:val="left" w:pos="1134"/>
        </w:tabs>
        <w:ind w:right="117"/>
        <w:rPr>
          <w:rFonts w:ascii="Verdana" w:eastAsia="Calibri" w:hAnsi="Verdana"/>
          <w:b/>
          <w:sz w:val="16"/>
          <w:szCs w:val="16"/>
          <w:lang w:val="tr-TR"/>
        </w:rPr>
      </w:pPr>
      <w:r w:rsidRPr="00727490">
        <w:rPr>
          <w:rFonts w:ascii="Verdana" w:eastAsia="Calibri" w:hAnsi="Verdana"/>
          <w:b/>
          <w:sz w:val="16"/>
          <w:szCs w:val="16"/>
          <w:lang w:val="tr-TR"/>
        </w:rPr>
        <w:t>Arabuluculuk sürecinin başlamasından sona ermesine kadar geçirilen süre, zamanaşımı ve hak düşürücü sürelerin hesaplanmasında dikkate alınmaz.</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 arabulucuya başvurmak, süreci devam ettirmek, sonuçlandırmak veya bu süreçten istedikleri anda vazgeçmek konusunda tamamen serbesttirler. </w:t>
      </w:r>
      <w:r w:rsidRPr="00727490">
        <w:rPr>
          <w:rFonts w:ascii="Verdana" w:eastAsia="Calibri" w:hAnsi="Verdana"/>
          <w:sz w:val="16"/>
          <w:szCs w:val="16"/>
          <w:lang w:val="tr-TR"/>
        </w:rPr>
        <w:t xml:space="preserve">Taraflar, hiçbir şekilde zorla bu sürecin içine </w:t>
      </w:r>
      <w:proofErr w:type="gramStart"/>
      <w:r w:rsidRPr="00727490">
        <w:rPr>
          <w:rFonts w:ascii="Verdana" w:eastAsia="Calibri" w:hAnsi="Verdana"/>
          <w:sz w:val="16"/>
          <w:szCs w:val="16"/>
          <w:lang w:val="tr-TR"/>
        </w:rPr>
        <w:t>dahil</w:t>
      </w:r>
      <w:proofErr w:type="gramEnd"/>
      <w:r w:rsidRPr="00727490">
        <w:rPr>
          <w:rFonts w:ascii="Verdana" w:eastAsia="Calibri" w:hAnsi="Verdana"/>
          <w:sz w:val="16"/>
          <w:szCs w:val="16"/>
          <w:lang w:val="tr-TR"/>
        </w:rPr>
        <w:t xml:space="preserve"> edilmeyecekleri gibi sürecin her aşamasında arabuluculuk müzakere sürecini sonlandırabilirler.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 gerek arabulucuya başvururken gerekse süreç boyunca eşit haklara sahiptirler. </w:t>
      </w:r>
      <w:r w:rsidRPr="00727490">
        <w:rPr>
          <w:rFonts w:ascii="Verdana" w:eastAsia="Calibri" w:hAnsi="Verdana"/>
          <w:sz w:val="16"/>
          <w:szCs w:val="16"/>
          <w:lang w:val="tr-TR"/>
        </w:rPr>
        <w:t xml:space="preserve">Taraflardan biri arabuluculuk sürecinin dışında bırakılmayacağı gibi söz hakkı da diğerine göre kısıtlanmaz.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b/>
          <w:sz w:val="16"/>
          <w:szCs w:val="16"/>
          <w:lang w:val="tr-TR"/>
        </w:rPr>
        <w:t xml:space="preserve">Taraflarca aksi kararlaştırılmadıkça arabulucu, arabuluculuk faaliyeti çerçevesinde kendisine sunulan veya diğer bir şekilde elde ettiği bilgi ve belgeler ile diğer kayıtları gizli tutulmakla yükümlüdür. </w:t>
      </w:r>
      <w:r w:rsidRPr="00727490">
        <w:rPr>
          <w:rFonts w:ascii="Verdana" w:eastAsia="Calibri" w:hAnsi="Verdana"/>
          <w:sz w:val="16"/>
          <w:szCs w:val="16"/>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arabulucu veya arabuluculuğa katılanlar da </w:t>
      </w:r>
      <w:proofErr w:type="gramStart"/>
      <w:r w:rsidRPr="00727490">
        <w:rPr>
          <w:rFonts w:ascii="Verdana" w:eastAsia="Calibri" w:hAnsi="Verdana"/>
          <w:sz w:val="16"/>
          <w:szCs w:val="16"/>
          <w:lang w:val="tr-TR"/>
        </w:rPr>
        <w:t>dahil</w:t>
      </w:r>
      <w:proofErr w:type="gramEnd"/>
      <w:r w:rsidRPr="00727490">
        <w:rPr>
          <w:rFonts w:ascii="Verdana" w:eastAsia="Calibri" w:hAnsi="Verdana"/>
          <w:sz w:val="16"/>
          <w:szCs w:val="16"/>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sidRPr="00727490">
        <w:rPr>
          <w:rFonts w:ascii="Verdana" w:eastAsia="Calibri" w:hAnsi="Verdana"/>
          <w:sz w:val="16"/>
          <w:szCs w:val="16"/>
          <w:lang w:val="tr-TR"/>
        </w:rPr>
        <w:t xml:space="preserve">sürülen öneriler veya herhangi </w:t>
      </w:r>
      <w:r w:rsidRPr="00727490">
        <w:rPr>
          <w:rFonts w:ascii="Verdana" w:eastAsia="Calibri" w:hAnsi="Verdana"/>
          <w:sz w:val="16"/>
          <w:szCs w:val="16"/>
          <w:lang w:val="tr-TR"/>
        </w:rPr>
        <w:t>bir vakıa veya iddianın kabulü, sadece arab</w:t>
      </w:r>
      <w:r w:rsidR="0074747C" w:rsidRPr="00727490">
        <w:rPr>
          <w:rFonts w:ascii="Verdana" w:eastAsia="Calibri" w:hAnsi="Verdana"/>
          <w:sz w:val="16"/>
          <w:szCs w:val="16"/>
          <w:lang w:val="tr-TR"/>
        </w:rPr>
        <w:t xml:space="preserve">uluculuk faaliyeti dolayısıyla </w:t>
      </w:r>
      <w:r w:rsidR="006361C5" w:rsidRPr="00727490">
        <w:rPr>
          <w:rFonts w:ascii="Verdana" w:eastAsia="Calibri" w:hAnsi="Verdana"/>
          <w:sz w:val="16"/>
          <w:szCs w:val="16"/>
          <w:lang w:val="tr-TR"/>
        </w:rPr>
        <w:t xml:space="preserve">hazırlanan belgeler </w:t>
      </w:r>
      <w:r w:rsidRPr="00727490">
        <w:rPr>
          <w:rFonts w:ascii="Verdana" w:eastAsia="Calibri" w:hAnsi="Verdana"/>
          <w:sz w:val="16"/>
          <w:szCs w:val="16"/>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arabuluculuk faaliyetini yürütürken tarafsız davranmak zorunda olup, tarafsızlığı hakkında şüpheye yol açacak tutum ve davranışta bulunamaz.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görevini özenle, tarafsız bir biçimde ve bizzat kendisi yerine getirmek zorunda olup, bu görevini kısmen dahi olsa bir başkasına devredemez. </w:t>
      </w:r>
    </w:p>
    <w:p w:rsidR="00540C6B" w:rsidRPr="00727490" w:rsidRDefault="00540C6B" w:rsidP="00A4715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lastRenderedPageBreak/>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Tarafların arabuluculuk sürecinin sonunda tarafların anlaşamaması halinde de, iş bu durum arabulucu tarafından tutanak altına alınacaktır.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tarafların her biri ile ayrı ayrı veya birlikte görüşebilir ve iletişim kurabilir. Taraflar bu görüşmelere vekilleri aracılığı ile de katılabilirler.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A66DE8" w:rsidRPr="00727490" w:rsidRDefault="00540C6B" w:rsidP="008E623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727490" w:rsidRDefault="00540C6B" w:rsidP="00147F42">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Başkaca bir usul kararlaştırılmadıkça arabulucu veya arabulucular taraflarca seçilir. Arabulucu, seçildikten sonra tarafları en kısa sürede ilk toplantıya davet eder.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 emredici hukuk kurallarına aykırı olmamak kaydı ile arabuluculuk usulünü serbestçe kararlaştırabilirler.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Keşif, bilirkişiye başvurma ve tanık dinleme gibi niteliği gereği yargısal bir yetkinin kullanımı olarak sadece hâkim tarafından yapılabilecek işlemler arabulucu tarafından yapılmaz. </w:t>
      </w:r>
    </w:p>
    <w:p w:rsidR="00540C6B" w:rsidRPr="00727490" w:rsidRDefault="00540C6B" w:rsidP="00E2084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sürecin yürütülmesi sırasında, taraflara hukuki tavsiyelerde bulunamaz; bir çözüm önerisi </w:t>
      </w:r>
      <w:proofErr w:type="gramStart"/>
      <w:r w:rsidRPr="00727490">
        <w:rPr>
          <w:rFonts w:ascii="Verdana" w:eastAsia="Calibri" w:hAnsi="Verdana"/>
          <w:sz w:val="16"/>
          <w:szCs w:val="16"/>
          <w:lang w:val="tr-TR"/>
        </w:rPr>
        <w:t>yada</w:t>
      </w:r>
      <w:proofErr w:type="gramEnd"/>
      <w:r w:rsidRPr="00727490">
        <w:rPr>
          <w:rFonts w:ascii="Verdana" w:eastAsia="Calibri" w:hAnsi="Verdana"/>
          <w:sz w:val="16"/>
          <w:szCs w:val="16"/>
          <w:lang w:val="tr-TR"/>
        </w:rPr>
        <w:t xml:space="preserve"> da öneriler kataloğu geliştirip, bunu onlara empoze edemeyeceği gibi, müzakereler sırasında geliştirilen bir çözüm önerisi üzerinde anlaşmaya varmalar</w:t>
      </w:r>
      <w:r w:rsidR="00C66BF9" w:rsidRPr="00727490">
        <w:rPr>
          <w:rFonts w:ascii="Verdana" w:eastAsia="Calibri" w:hAnsi="Verdana"/>
          <w:sz w:val="16"/>
          <w:szCs w:val="16"/>
          <w:lang w:val="tr-TR"/>
        </w:rPr>
        <w:t>ı</w:t>
      </w:r>
      <w:r w:rsidRPr="00727490">
        <w:rPr>
          <w:rFonts w:ascii="Verdana" w:eastAsia="Calibri" w:hAnsi="Verdana"/>
          <w:sz w:val="16"/>
          <w:szCs w:val="16"/>
          <w:lang w:val="tr-TR"/>
        </w:rPr>
        <w:t xml:space="preserve"> için de onları zorlayamaz. Ancak, taraflardan birisinin, uyuşmazlığın çözümü bağlamında, sunulmuş olduğu bir önerinin, arabulucu tarafından, diğer tarafa iletilmesi ve onun bu konudaki beyanının alınması</w:t>
      </w:r>
      <w:r w:rsidR="00E20849" w:rsidRPr="00727490">
        <w:rPr>
          <w:rFonts w:ascii="Verdana" w:eastAsia="Calibri" w:hAnsi="Verdana"/>
          <w:sz w:val="16"/>
          <w:szCs w:val="16"/>
          <w:lang w:val="tr-TR"/>
        </w:rPr>
        <w:t xml:space="preserve"> </w:t>
      </w:r>
      <w:r w:rsidRPr="00727490">
        <w:rPr>
          <w:rFonts w:ascii="Verdana" w:eastAsia="Calibri" w:hAnsi="Verdana"/>
          <w:sz w:val="16"/>
          <w:szCs w:val="16"/>
          <w:lang w:val="tr-TR"/>
        </w:rPr>
        <w:t>bu kapsamda mütalaa edilemez.</w:t>
      </w:r>
      <w:r w:rsidR="00E20849" w:rsidRPr="00727490">
        <w:rPr>
          <w:rFonts w:ascii="Verdana" w:eastAsia="Calibri" w:hAnsi="Verdana"/>
          <w:sz w:val="16"/>
          <w:szCs w:val="16"/>
          <w:lang w:val="tr-TR"/>
        </w:rPr>
        <w:t xml:space="preserve"> Ayrıca tarafların çözüm üretemediklerinin ortaya çıkması hâlinde çözüm önerisi getirebilir.</w:t>
      </w:r>
    </w:p>
    <w:p w:rsidR="00540C6B" w:rsidRPr="00727490" w:rsidRDefault="00540C6B" w:rsidP="00EB7F37">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Dava açıldıktan sonra tarafların birlikte arabulucuya başvuracaklarını beyan etmeleri halinde yargılama, mahkemece üç ayı geçmemek üzere üç aya kadar uzatılabilir. </w:t>
      </w:r>
    </w:p>
    <w:p w:rsidR="00540C6B" w:rsidRPr="00727490" w:rsidRDefault="00540C6B" w:rsidP="00AC75C4">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Taraflar arabuluculuk müzakerelerine bizzat veya arabuluculuk konusunda özel yetki verilmiş vekilleri aracılığı ile katılabilirler.</w:t>
      </w:r>
    </w:p>
    <w:p w:rsidR="00D523F4" w:rsidRPr="00727490" w:rsidRDefault="00540C6B" w:rsidP="00817CF9">
      <w:pPr>
        <w:pStyle w:val="GvdeMetni"/>
        <w:numPr>
          <w:ilvl w:val="1"/>
          <w:numId w:val="10"/>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arabuluc</w:t>
      </w:r>
      <w:r w:rsidR="00A8748A" w:rsidRPr="00727490">
        <w:rPr>
          <w:rFonts w:ascii="Verdana" w:eastAsia="Calibri" w:hAnsi="Verdana"/>
          <w:sz w:val="16"/>
          <w:szCs w:val="16"/>
          <w:lang w:val="tr-TR"/>
        </w:rPr>
        <w:t xml:space="preserve">uluk sürecinde hukuki ve fiili </w:t>
      </w:r>
      <w:r w:rsidRPr="00727490">
        <w:rPr>
          <w:rFonts w:ascii="Verdana" w:eastAsia="Calibri" w:hAnsi="Verdana"/>
          <w:sz w:val="16"/>
          <w:szCs w:val="16"/>
          <w:lang w:val="tr-TR"/>
        </w:rPr>
        <w:t xml:space="preserve">sebeplerle görevini yapamayacak hale gelirse, tarafların üzerinde anlaştığı yeni bir arabulucu ile süreç kaldığı yerden devam ettirilebilir. Önceki yapılan işlemler geçerliliğini korur. </w:t>
      </w:r>
    </w:p>
    <w:p w:rsidR="00817CF9" w:rsidRPr="00727490" w:rsidRDefault="00817CF9" w:rsidP="00817CF9">
      <w:pPr>
        <w:pStyle w:val="GvdeMetni"/>
        <w:tabs>
          <w:tab w:val="left" w:pos="1134"/>
        </w:tabs>
        <w:ind w:left="0" w:right="117"/>
        <w:rPr>
          <w:rFonts w:ascii="Verdana" w:eastAsia="Calibri" w:hAnsi="Verdana"/>
          <w:sz w:val="16"/>
          <w:szCs w:val="16"/>
          <w:lang w:val="tr-TR"/>
        </w:rPr>
      </w:pPr>
    </w:p>
    <w:p w:rsidR="00733812" w:rsidRPr="00727490" w:rsidRDefault="00945A32"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TÜKETİCİ UYUŞMAZLIĞI DAVA ŞARTI İLE İLGİLİ OLARAK:</w:t>
      </w:r>
      <w:r w:rsidR="0055675F" w:rsidRPr="00727490">
        <w:rPr>
          <w:rFonts w:ascii="Verdana" w:eastAsia="Calibri" w:hAnsi="Verdana" w:cs="Times New Roman"/>
          <w:sz w:val="16"/>
          <w:szCs w:val="16"/>
          <w:highlight w:val="lightGray"/>
          <w:lang w:val="tr-TR"/>
        </w:rPr>
        <w:tab/>
      </w:r>
    </w:p>
    <w:p w:rsidR="001D6629" w:rsidRPr="0072749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1D6629" w:rsidRPr="00727490"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6"/>
          <w:szCs w:val="16"/>
          <w:lang w:val="tr-TR" w:bidi="en-US"/>
        </w:rPr>
      </w:pPr>
    </w:p>
    <w:p w:rsidR="00B520C6" w:rsidRPr="00727490" w:rsidRDefault="00B520C6" w:rsidP="00727490">
      <w:pPr>
        <w:pStyle w:val="ListeParagraf"/>
        <w:widowControl w:val="0"/>
        <w:tabs>
          <w:tab w:val="left" w:pos="1134"/>
        </w:tabs>
        <w:autoSpaceDE w:val="0"/>
        <w:autoSpaceDN w:val="0"/>
        <w:spacing w:before="120" w:after="0" w:line="240" w:lineRule="auto"/>
        <w:ind w:left="0" w:right="117"/>
        <w:contextualSpacing w:val="0"/>
        <w:jc w:val="both"/>
        <w:rPr>
          <w:rFonts w:ascii="Verdana" w:eastAsia="Calibri" w:hAnsi="Verdana"/>
          <w:sz w:val="16"/>
          <w:szCs w:val="16"/>
          <w:lang w:val="tr-TR"/>
        </w:rPr>
      </w:pPr>
    </w:p>
    <w:p w:rsidR="003D21CD" w:rsidRPr="00727490" w:rsidRDefault="003D21CD" w:rsidP="003D21CD">
      <w:pPr>
        <w:pStyle w:val="GvdeMetni"/>
        <w:numPr>
          <w:ilvl w:val="1"/>
          <w:numId w:val="11"/>
        </w:numPr>
        <w:tabs>
          <w:tab w:val="left" w:pos="1134"/>
        </w:tabs>
        <w:ind w:right="117"/>
        <w:rPr>
          <w:rFonts w:ascii="Verdana" w:eastAsia="Calibri" w:hAnsi="Verdana"/>
          <w:sz w:val="16"/>
          <w:szCs w:val="16"/>
          <w:lang w:val="tr-TR"/>
        </w:rPr>
      </w:pPr>
      <w:proofErr w:type="gramStart"/>
      <w:r w:rsidRPr="00727490">
        <w:rPr>
          <w:rFonts w:ascii="Verdana" w:eastAsia="Calibri" w:hAnsi="Verdana"/>
          <w:color w:val="FF0000"/>
          <w:sz w:val="16"/>
          <w:szCs w:val="16"/>
          <w:lang w:val="tr-TR"/>
        </w:rPr>
        <w:t>……………</w:t>
      </w:r>
      <w:proofErr w:type="gramEnd"/>
      <w:r w:rsidRPr="00727490">
        <w:rPr>
          <w:rFonts w:ascii="Verdana" w:eastAsia="Calibri" w:hAnsi="Verdana"/>
          <w:color w:val="FF0000"/>
          <w:sz w:val="16"/>
          <w:szCs w:val="16"/>
          <w:lang w:val="tr-TR"/>
        </w:rPr>
        <w:t xml:space="preserve"> Konularından kaynaklanan uyuşmazlık</w:t>
      </w:r>
      <w:r w:rsidRPr="00727490">
        <w:rPr>
          <w:rFonts w:ascii="Verdana" w:eastAsia="Calibri" w:hAnsi="Verdana"/>
          <w:sz w:val="16"/>
          <w:szCs w:val="16"/>
          <w:lang w:val="tr-TR"/>
        </w:rPr>
        <w:t>, MADDE 18/A - (</w:t>
      </w:r>
      <w:proofErr w:type="gramStart"/>
      <w:r w:rsidRPr="00727490">
        <w:rPr>
          <w:rFonts w:ascii="Verdana" w:eastAsia="Calibri" w:hAnsi="Verdana"/>
          <w:sz w:val="16"/>
          <w:szCs w:val="16"/>
          <w:lang w:val="tr-TR"/>
        </w:rPr>
        <w:t>Ek : 7155</w:t>
      </w:r>
      <w:proofErr w:type="gramEnd"/>
      <w:r w:rsidRPr="00727490">
        <w:rPr>
          <w:rFonts w:ascii="Verdana" w:eastAsia="Calibri" w:hAnsi="Verdana"/>
          <w:sz w:val="16"/>
          <w:szCs w:val="16"/>
          <w:lang w:val="tr-TR"/>
        </w:rPr>
        <w:t xml:space="preserve"> - 6.12.2018 / m.23) (1) İlgili kanunlarda arabulucuya başvurulmuş olması dava şartı olarak kabul edilmiş ise dava şartı arabuluculuk sürecine ilişkin hükümler uygulanır ve 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w:t>
      </w:r>
    </w:p>
    <w:p w:rsidR="00945A32" w:rsidRPr="00727490" w:rsidRDefault="00945A32" w:rsidP="008F0986">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6502 sayılı yasanın 73/1. Madde uyarınca, tüketici işlemleri ile tüketiciye yönelik uygulamalardan doğabilecek uyuşmazlıklara ilişkin davalarda tüketici mahkemeleri görevli olup 6502 sayılı yasanın 73/A maddesi uyarınca, tüketici mahkemelerinde görülen uyuşmazlıklarda dava açılmadan önce arabulucuya başvurulmuş olması dava şartıdır.</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lastRenderedPageBreak/>
        <w:t xml:space="preserve">Dava açılmadan önce ihtiyati tedbir kararı verilmesi hâlinde 6100 sayılı Kanunun 397 </w:t>
      </w:r>
      <w:proofErr w:type="spellStart"/>
      <w:r w:rsidRPr="00727490">
        <w:rPr>
          <w:rFonts w:ascii="Verdana" w:eastAsia="Calibri" w:hAnsi="Verdana"/>
          <w:sz w:val="16"/>
          <w:szCs w:val="16"/>
          <w:lang w:val="tr-TR"/>
        </w:rPr>
        <w:t>nci</w:t>
      </w:r>
      <w:proofErr w:type="spellEnd"/>
      <w:r w:rsidRPr="00727490">
        <w:rPr>
          <w:rFonts w:ascii="Verdana" w:eastAsia="Calibri" w:hAnsi="Verdana"/>
          <w:sz w:val="16"/>
          <w:szCs w:val="16"/>
          <w:lang w:val="tr-TR"/>
        </w:rPr>
        <w:t xml:space="preserve"> maddesinin birinci fıkrasında, ihtiyati haciz kararı verilmesi hâlinde ise </w:t>
      </w:r>
      <w:proofErr w:type="gramStart"/>
      <w:r w:rsidRPr="00727490">
        <w:rPr>
          <w:rFonts w:ascii="Verdana" w:eastAsia="Calibri" w:hAnsi="Verdana"/>
          <w:sz w:val="16"/>
          <w:szCs w:val="16"/>
          <w:lang w:val="tr-TR"/>
        </w:rPr>
        <w:t>9/6/1932</w:t>
      </w:r>
      <w:proofErr w:type="gramEnd"/>
      <w:r w:rsidRPr="00727490">
        <w:rPr>
          <w:rFonts w:ascii="Verdana" w:eastAsia="Calibri" w:hAnsi="Verdana"/>
          <w:sz w:val="16"/>
          <w:szCs w:val="16"/>
          <w:lang w:val="tr-TR"/>
        </w:rPr>
        <w:t xml:space="preserve"> tarihli ve 2004 sayılı İcra ve İflas Kanununun 264 üncü maddesinin birinci fıkrasında düzenlenen dava açma süresi, arabuluculuk bürosuna başvurulmasından son tutanağın düzenlendiği tarihe kadar işlemez (HUAK m. 18A/16).</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(HUAK m. 3/2).</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 yapılan başvuruyu görevlendirildiği tarihten itibaren üç hafta içinde sonuçlandırır. Bu </w:t>
      </w:r>
      <w:proofErr w:type="gramStart"/>
      <w:r w:rsidRPr="00727490">
        <w:rPr>
          <w:rFonts w:ascii="Verdana" w:eastAsia="Calibri" w:hAnsi="Verdana"/>
          <w:sz w:val="16"/>
          <w:szCs w:val="16"/>
          <w:lang w:val="tr-TR"/>
        </w:rPr>
        <w:t>süre    Zorunlu</w:t>
      </w:r>
      <w:proofErr w:type="gramEnd"/>
      <w:r w:rsidRPr="00727490">
        <w:rPr>
          <w:rFonts w:ascii="Verdana" w:eastAsia="Calibri" w:hAnsi="Verdana"/>
          <w:sz w:val="16"/>
          <w:szCs w:val="16"/>
          <w:lang w:val="tr-TR"/>
        </w:rPr>
        <w:t xml:space="preserve"> hâllerde arabulucu tarafından en fazla bir hafta uzatılabilir (HUAK m. 18A/9).</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 taraflara ulaşılamaması, taraflar katılmadığı için görüşme yapılamaması yahut yapılan görüşmeler sonucunda anlaşmaya varılması veya varıl</w:t>
      </w:r>
      <w:r w:rsidR="00320C63" w:rsidRPr="00727490">
        <w:rPr>
          <w:rFonts w:ascii="Verdana" w:eastAsia="Calibri" w:hAnsi="Verdana"/>
          <w:sz w:val="16"/>
          <w:szCs w:val="16"/>
          <w:lang w:val="tr-TR"/>
        </w:rPr>
        <w:t xml:space="preserve">amaması hâllerinde arabuluculuk </w:t>
      </w:r>
      <w:r w:rsidRPr="00727490">
        <w:rPr>
          <w:rFonts w:ascii="Verdana" w:eastAsia="Calibri" w:hAnsi="Verdana"/>
          <w:sz w:val="16"/>
          <w:szCs w:val="16"/>
          <w:lang w:val="tr-TR"/>
        </w:rPr>
        <w:t>faaliyetini sona erdirir ve son tutanağı düzenleyerek durumu derhâl arabuluculuk bürosuna bildirir (HUAK m.18A/10).</w:t>
      </w:r>
    </w:p>
    <w:p w:rsidR="00945A32" w:rsidRPr="00727490" w:rsidRDefault="00945A32" w:rsidP="00320C63">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Tarafların arabuluculuk faaliyeti sonunda anlaşmaları hâlinde, arabuluculuk ücreti, Arabuluculuk Asgari Ücret Tarifesinin eki Arabuluculuk Ücret Tarifesinin İkinci Kısmına göre karşılanır. Bu durumda ücret, Tarifenin Birinci Kısmında belirlenen iki saatlik ücret tutarından az olamaz. (HUAK m. 18A/12).  6502 sayılı yasa 73/A maddesi 3. Fıkra uyarınca</w:t>
      </w:r>
      <w:r w:rsidRPr="00727490">
        <w:rPr>
          <w:rFonts w:ascii="Verdana" w:eastAsia="Calibri" w:hAnsi="Verdana"/>
          <w:b/>
          <w:i/>
          <w:sz w:val="16"/>
          <w:szCs w:val="16"/>
          <w:lang w:val="tr-TR"/>
        </w:rPr>
        <w:t>; Arabuluculuk faaliyeti sonunda taraflara ulaşılamaması, taraflar katılmadığı için görüşme yapılamaması veya tarafların anlaşmaları ya da anlaşamamaları hâlinde tüketicinin ödemesi gereken arabuluculuk ücreti, Adalet Bakanlığı bütçesinden karşılanır</w:t>
      </w:r>
      <w:r w:rsidRPr="00727490">
        <w:rPr>
          <w:rFonts w:ascii="Verdana" w:eastAsia="Calibri" w:hAnsi="Verdana"/>
          <w:sz w:val="16"/>
          <w:szCs w:val="16"/>
          <w:lang w:val="tr-TR"/>
        </w:rPr>
        <w:t xml:space="preserve">. Ancak belirtilen hâllerde arabuluculuk ücreti, Arabuluculuk Asgari Ücret Tarifesinin eki Arabuluculuk Ücret Tarifesinin Birinci Kısmına göre iki saatlik ücret tutarını geçemez. </w:t>
      </w:r>
    </w:p>
    <w:p w:rsidR="00945A32" w:rsidRPr="00727490" w:rsidRDefault="00945A32" w:rsidP="00F65F7B">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6502 sayılı yasa 73/A maddesi 4. Fıkra uyarınca Arabuluculuk faaliyeti sonunda açılan davanın tüketici lehine sonuçlanması hâlinde arabuluculuk ücreti, 6183 sayılı Kanun hükümlerine göre davalıdan tahsil olunarak bütçeye gelir kaydedilir.</w:t>
      </w:r>
    </w:p>
    <w:p w:rsidR="00945A32" w:rsidRPr="00727490" w:rsidRDefault="00945A32" w:rsidP="00F65F7B">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Arabuluculuk müzakerelerine taraflar bizzat, kanuni temsilcileri veya avukatları aracılığıyla katılabilirler. Uyuşmazlığın çözümüne katkı sağlayabilecek uzman kişiler de müzakerelerde hazır bulundurulabilir (HUAK m. 15/6).</w:t>
      </w:r>
    </w:p>
    <w:p w:rsidR="00945A32" w:rsidRPr="00727490" w:rsidRDefault="00945A32" w:rsidP="00F65F7B">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Arabuluculuk görüşmeleri, taraflarca aksi kararlaştırılmadıkça, arabulucuyu görevlendiren büronun bağlı bulunduğu adli yargı ilk derece mahkemesi adalet komisyonunun yetki alanı içinde yürütülür (HUAK m. 18A/17).</w:t>
      </w:r>
    </w:p>
    <w:p w:rsidR="00945A32" w:rsidRPr="00BD34DE" w:rsidRDefault="00945A32" w:rsidP="00BD34DE">
      <w:pPr>
        <w:pStyle w:val="GvdeMetni"/>
        <w:numPr>
          <w:ilvl w:val="2"/>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Tüketici dışında diğer taraf geçerli bir mazeret göstermeksizin ilk toplantıya katılmaması sebebiyle arabuluculuk faaliyetinin sona ermesi durumunda toplantıya katılmayan taraf, son tutanakta belirtilir </w:t>
      </w:r>
      <w:r w:rsidR="003519F2" w:rsidRPr="003519F2">
        <w:rPr>
          <w:rFonts w:ascii="Verdana" w:eastAsia="Calibri" w:hAnsi="Verdana"/>
          <w:sz w:val="16"/>
          <w:szCs w:val="16"/>
          <w:lang w:val="tr-TR"/>
        </w:rPr>
        <w:t xml:space="preserve">ve bu taraf davada kısmen veya tamamen haklı çıksa bile karşı tarafın ödemekle yükümlü olduğu yargılama giderlerinin yarısından sorumlu tutulur.  Ayrıca bu taraf lehine Avukatlık Asgari Ücret Tarifesine göre belirlenen vekâlet </w:t>
      </w:r>
      <w:r w:rsidR="00BD34DE">
        <w:rPr>
          <w:rFonts w:ascii="Verdana" w:eastAsia="Calibri" w:hAnsi="Verdana"/>
          <w:sz w:val="16"/>
          <w:szCs w:val="16"/>
          <w:lang w:val="tr-TR"/>
        </w:rPr>
        <w:t xml:space="preserve">ücretinin yarısına hükmedilir. </w:t>
      </w:r>
      <w:bookmarkStart w:id="0" w:name="_GoBack"/>
      <w:bookmarkEnd w:id="0"/>
      <w:r w:rsidRPr="00BD34DE">
        <w:rPr>
          <w:rFonts w:ascii="Verdana" w:eastAsia="Calibri" w:hAnsi="Verdana"/>
          <w:sz w:val="16"/>
          <w:szCs w:val="16"/>
          <w:lang w:val="tr-TR"/>
        </w:rPr>
        <w:t>(HUAK m.18A/11). (6502 sayılı yasa 73/A maddesi ikinci fıkra hükmü uyarınca tüketici aleyhine uygulanamaz.)</w:t>
      </w:r>
    </w:p>
    <w:p w:rsidR="00945A32" w:rsidRPr="00727490" w:rsidRDefault="00945A32" w:rsidP="0093043E">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Arabuluculuk görüşmelerine, gerçek kişilerin kimlik belgesi, şirket yetkililerinin kimlik belgesi ve </w:t>
      </w:r>
      <w:proofErr w:type="gramStart"/>
      <w:r w:rsidRPr="00727490">
        <w:rPr>
          <w:rFonts w:ascii="Verdana" w:eastAsia="Calibri" w:hAnsi="Verdana"/>
          <w:sz w:val="16"/>
          <w:szCs w:val="16"/>
          <w:lang w:val="tr-TR"/>
        </w:rPr>
        <w:t>imza  sirküleri</w:t>
      </w:r>
      <w:proofErr w:type="gramEnd"/>
      <w:r w:rsidRPr="00727490">
        <w:rPr>
          <w:rFonts w:ascii="Verdana" w:eastAsia="Calibri" w:hAnsi="Verdana"/>
          <w:sz w:val="16"/>
          <w:szCs w:val="16"/>
          <w:lang w:val="tr-TR"/>
        </w:rPr>
        <w:t>, avukatların kimlik belgesi ve arabuluculuk görüşmelerine katılma konusunda özel yetki bulunan vekâletname ile toplantıya katılması gerekmektedir.</w:t>
      </w:r>
    </w:p>
    <w:p w:rsidR="0093043E" w:rsidRPr="00727490" w:rsidRDefault="00945A32" w:rsidP="00727490">
      <w:pPr>
        <w:pStyle w:val="GvdeMetni"/>
        <w:numPr>
          <w:ilvl w:val="1"/>
          <w:numId w:val="11"/>
        </w:numPr>
        <w:tabs>
          <w:tab w:val="left" w:pos="1134"/>
        </w:tabs>
        <w:ind w:right="117"/>
        <w:rPr>
          <w:rFonts w:ascii="Verdana" w:eastAsia="Calibri" w:hAnsi="Verdana"/>
          <w:sz w:val="16"/>
          <w:szCs w:val="16"/>
          <w:lang w:val="tr-TR"/>
        </w:rPr>
      </w:pPr>
      <w:r w:rsidRPr="00727490">
        <w:rPr>
          <w:rFonts w:ascii="Verdana" w:eastAsia="Calibri" w:hAnsi="Verdana"/>
          <w:sz w:val="16"/>
          <w:szCs w:val="16"/>
          <w:lang w:val="tr-TR"/>
        </w:rPr>
        <w:t xml:space="preserve">Arabuluculuk görüşmelerinde, idarenin taraf olduğu uyuşmazlıklarda idareyi, üst yönetici tarafından belirlenen iki üye ile hukuk birimi amiri veya onun belirleyeceği bir avukat ya da hukuk müşavirinden oluşan komisyon temsil eder (HUAK m. 15/8). Komisyon kendisini vekil ile temsil ettiremez (HUAK Yönetmeliği m. 18/1). </w:t>
      </w:r>
    </w:p>
    <w:p w:rsidR="00945A32" w:rsidRPr="00727490" w:rsidRDefault="00945A32" w:rsidP="00945A32">
      <w:pPr>
        <w:pStyle w:val="GvdeMetni"/>
        <w:tabs>
          <w:tab w:val="left" w:pos="1134"/>
        </w:tabs>
        <w:ind w:right="117"/>
        <w:rPr>
          <w:rFonts w:ascii="Verdana" w:eastAsia="Calibri" w:hAnsi="Verdana"/>
          <w:sz w:val="16"/>
          <w:szCs w:val="16"/>
          <w:lang w:val="tr-TR"/>
        </w:rPr>
      </w:pP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 xml:space="preserve">ARABULUCULUĞUN SONA ERMESİ </w:t>
      </w:r>
      <w:r w:rsidR="003F51D7" w:rsidRPr="00727490">
        <w:rPr>
          <w:rFonts w:ascii="Verdana" w:eastAsia="Calibri" w:hAnsi="Verdana" w:cs="Times New Roman"/>
          <w:b/>
          <w:sz w:val="16"/>
          <w:szCs w:val="16"/>
          <w:highlight w:val="lightGray"/>
          <w:lang w:val="tr-TR"/>
        </w:rPr>
        <w:tab/>
        <w:t>:</w:t>
      </w:r>
    </w:p>
    <w:p w:rsidR="00364174" w:rsidRPr="00727490" w:rsidRDefault="00540C6B" w:rsidP="00B3042D">
      <w:pPr>
        <w:ind w:right="284" w:firstLine="360"/>
        <w:contextualSpacing/>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Aşağıda belirtilen hallerde arabuluculuk faaliyeti sona erer:</w:t>
      </w:r>
    </w:p>
    <w:p w:rsidR="00B3042D" w:rsidRPr="0072749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B3042D" w:rsidRPr="00727490" w:rsidRDefault="00B3042D" w:rsidP="00B3042D">
      <w:pPr>
        <w:pStyle w:val="ListeParagraf"/>
        <w:numPr>
          <w:ilvl w:val="0"/>
          <w:numId w:val="7"/>
        </w:numPr>
        <w:ind w:right="284"/>
        <w:jc w:val="both"/>
        <w:rPr>
          <w:rFonts w:ascii="Verdana" w:eastAsia="Calibri" w:hAnsi="Verdana" w:cs="Times New Roman"/>
          <w:vanish/>
          <w:sz w:val="16"/>
          <w:szCs w:val="16"/>
          <w:lang w:val="tr-TR"/>
        </w:rPr>
      </w:pP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Tarafların uyuşmazlık konusu üzerinde anlaşmaya varılması.</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Taraflara danışmanlıktan sonra arabuluculuk için daha fazla çaba sarf edilmesinin gereksiz olduğunun arabulucu tarafından tespit edilmesi. </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Taraflardan birinin karşı tarafa veya arabulucuya, arabuluculuk </w:t>
      </w:r>
      <w:proofErr w:type="gramStart"/>
      <w:r w:rsidRPr="00727490">
        <w:rPr>
          <w:rFonts w:ascii="Verdana" w:eastAsia="Calibri" w:hAnsi="Verdana" w:cs="Times New Roman"/>
          <w:sz w:val="16"/>
          <w:szCs w:val="16"/>
          <w:lang w:val="tr-TR"/>
        </w:rPr>
        <w:t>faaliyetimden  çekildiğini</w:t>
      </w:r>
      <w:proofErr w:type="gramEnd"/>
      <w:r w:rsidRPr="00727490">
        <w:rPr>
          <w:rFonts w:ascii="Verdana" w:eastAsia="Calibri" w:hAnsi="Verdana" w:cs="Times New Roman"/>
          <w:sz w:val="16"/>
          <w:szCs w:val="16"/>
          <w:lang w:val="tr-TR"/>
        </w:rPr>
        <w:t xml:space="preserve"> bildirmesi.</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Uyuşmazlığın arabuluculuğa elverişli olmadığının veya </w:t>
      </w:r>
      <w:proofErr w:type="gramStart"/>
      <w:r w:rsidRPr="00727490">
        <w:rPr>
          <w:rFonts w:ascii="Verdana" w:eastAsia="Calibri" w:hAnsi="Verdana" w:cs="Times New Roman"/>
          <w:sz w:val="16"/>
          <w:szCs w:val="16"/>
          <w:lang w:val="tr-TR"/>
        </w:rPr>
        <w:t>4/12/2004</w:t>
      </w:r>
      <w:proofErr w:type="gramEnd"/>
      <w:r w:rsidRPr="00727490">
        <w:rPr>
          <w:rFonts w:ascii="Verdana" w:eastAsia="Calibri" w:hAnsi="Verdana" w:cs="Times New Roman"/>
          <w:sz w:val="16"/>
          <w:szCs w:val="16"/>
          <w:lang w:val="tr-TR"/>
        </w:rPr>
        <w:t xml:space="preserve"> tarihli ve 5270 sayılı Ceza Muhakemesi Kanunu gereğince uzlaşma kapsamına girmeyen bir suç ile ilgili olduğunun tespit edilmesi.</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727490" w:rsidRDefault="00540C6B" w:rsidP="00364174">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faaliyeti sonunda sonun da düzenlenen tutanağa, faaliyetin sonuçlanması dışında hangi hususların yazılacağına taraflar karar veriri. Arabulucu, bu tutanak ve sonuçları konusunda taraflara gerekli açıklamaları yapar. </w:t>
      </w:r>
    </w:p>
    <w:p w:rsidR="00641144" w:rsidRPr="00727490" w:rsidRDefault="00540C6B" w:rsidP="006A4896">
      <w:pPr>
        <w:pStyle w:val="ListeParagraf"/>
        <w:numPr>
          <w:ilvl w:val="1"/>
          <w:numId w:val="7"/>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 xml:space="preserve">Arabuluculuk süreci sırasında taraflardan birinin ölümü halinde, arabuluculuk faaliyeti sona erer. </w:t>
      </w: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ARABULUCULUĞUN HUKUKİ SONUÇLARI</w:t>
      </w:r>
      <w:r w:rsidR="00641144" w:rsidRPr="00727490">
        <w:rPr>
          <w:rFonts w:ascii="Verdana" w:eastAsia="Calibri" w:hAnsi="Verdana" w:cs="Times New Roman"/>
          <w:b/>
          <w:sz w:val="16"/>
          <w:szCs w:val="16"/>
          <w:highlight w:val="lightGray"/>
          <w:lang w:val="tr-TR"/>
        </w:rPr>
        <w:tab/>
      </w:r>
      <w:r w:rsidRPr="00727490">
        <w:rPr>
          <w:rFonts w:ascii="Verdana" w:eastAsia="Calibri" w:hAnsi="Verdana" w:cs="Times New Roman"/>
          <w:b/>
          <w:sz w:val="16"/>
          <w:szCs w:val="16"/>
          <w:highlight w:val="lightGray"/>
          <w:lang w:val="tr-TR"/>
        </w:rPr>
        <w:t>:</w:t>
      </w:r>
    </w:p>
    <w:p w:rsidR="00ED1025" w:rsidRPr="00727490" w:rsidRDefault="00ED1025" w:rsidP="00ED1025">
      <w:pPr>
        <w:pStyle w:val="ListeParagraf"/>
        <w:rPr>
          <w:rFonts w:ascii="Verdana" w:eastAsia="Calibri" w:hAnsi="Verdana" w:cs="Times New Roman"/>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ED1025" w:rsidRPr="00727490" w:rsidRDefault="00ED1025" w:rsidP="00ED1025">
      <w:pPr>
        <w:pStyle w:val="ListeParagraf"/>
        <w:numPr>
          <w:ilvl w:val="0"/>
          <w:numId w:val="12"/>
        </w:numPr>
        <w:ind w:right="284"/>
        <w:jc w:val="both"/>
        <w:rPr>
          <w:rFonts w:ascii="Verdana" w:eastAsia="Calibri" w:hAnsi="Verdana" w:cs="Times New Roman"/>
          <w:vanish/>
          <w:sz w:val="16"/>
          <w:szCs w:val="16"/>
          <w:lang w:val="tr-TR"/>
        </w:rPr>
      </w:pPr>
    </w:p>
    <w:p w:rsidR="008538C5" w:rsidRPr="00727490" w:rsidRDefault="00540C6B" w:rsidP="00A54833">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 xml:space="preserve">Tarafların Anlaşması:  </w:t>
      </w:r>
    </w:p>
    <w:p w:rsidR="00323813" w:rsidRPr="00727490" w:rsidRDefault="00323813" w:rsidP="00323813">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Arabuluculuk faaliyeti sonunda varılan anlaşmanın kapsamı taraflarca belirlenir, anlaşma belgesi düzenlenmesi hâlinde, bu belge taraflar ve arabulucu tarafından imzalanır.</w:t>
      </w:r>
    </w:p>
    <w:p w:rsidR="00C260A9" w:rsidRPr="00727490" w:rsidRDefault="00323813" w:rsidP="00C260A9">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Arabuluculuk faaliyeti sonunda varılan anlaşmayanın kapsamı taraflarca belirlenir, anlaşma belgesi düzenlenmesi halinde, bu belge taraflar ve arabulucu tarafından imzalanır. Arabuluculuk faaliyeti sonunda anlaşmaya varılması hâlinde, üzerinde anlaşılan hususlar hakkında taraflarca dava açılamaz.</w:t>
      </w:r>
    </w:p>
    <w:p w:rsidR="001411B8" w:rsidRPr="00727490" w:rsidRDefault="001411B8" w:rsidP="001411B8">
      <w:pPr>
        <w:pStyle w:val="ListeParagraf"/>
        <w:ind w:right="284"/>
        <w:jc w:val="both"/>
        <w:rPr>
          <w:rFonts w:ascii="Verdana" w:eastAsia="Calibri" w:hAnsi="Verdana" w:cs="Times New Roman"/>
          <w:sz w:val="16"/>
          <w:szCs w:val="16"/>
          <w:lang w:val="tr-TR"/>
        </w:rPr>
      </w:pPr>
    </w:p>
    <w:p w:rsidR="00C260A9" w:rsidRPr="00727490" w:rsidRDefault="00C260A9" w:rsidP="00A54833">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İcra Edilebilirlik şerhi</w:t>
      </w:r>
      <w:r w:rsidR="00323813" w:rsidRPr="00727490">
        <w:rPr>
          <w:rFonts w:ascii="Verdana" w:eastAsia="Calibri" w:hAnsi="Verdana" w:cs="Times New Roman"/>
          <w:b/>
          <w:sz w:val="16"/>
          <w:szCs w:val="16"/>
          <w:lang w:val="tr-TR"/>
        </w:rPr>
        <w:t>:</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Taraflar, arabuluculuk faaliyeti sonunda bir anlaşmaya varılırsa, bu anlaşma belgesinin icra edilebilirliğine ilişkin şerh verilmesini talep edebilirler.</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727490" w:rsidRDefault="003415A0" w:rsidP="003415A0">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Davanın görülmesi sırasında arabuluculuğa başvurulması durumunda anlaşmanın icra edilebilirliğine ilişkin şerh verilmesi, davanın görüldüğü mahkemeden talep edilebilir.</w:t>
      </w:r>
    </w:p>
    <w:p w:rsidR="003415A0" w:rsidRPr="00727490" w:rsidRDefault="003415A0" w:rsidP="00340A97">
      <w:pPr>
        <w:pStyle w:val="ListeParagraf"/>
        <w:numPr>
          <w:ilvl w:val="2"/>
          <w:numId w:val="12"/>
        </w:numPr>
        <w:ind w:right="284"/>
        <w:jc w:val="both"/>
        <w:rPr>
          <w:rFonts w:ascii="Verdana" w:eastAsia="Calibri" w:hAnsi="Verdana" w:cs="Times New Roman"/>
          <w:b/>
          <w:sz w:val="16"/>
          <w:szCs w:val="16"/>
          <w:lang w:val="tr-TR"/>
        </w:rPr>
      </w:pPr>
      <w:r w:rsidRPr="00727490">
        <w:rPr>
          <w:rFonts w:ascii="Verdana" w:eastAsia="Calibri" w:hAnsi="Verdana" w:cs="Times New Roman"/>
          <w:sz w:val="16"/>
          <w:szCs w:val="16"/>
          <w:lang w:val="tr-TR"/>
        </w:rPr>
        <w:t>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340A97" w:rsidRPr="00727490" w:rsidRDefault="00340A97" w:rsidP="00340A97">
      <w:pPr>
        <w:pStyle w:val="ListeParagraf"/>
        <w:ind w:right="284"/>
        <w:jc w:val="both"/>
        <w:rPr>
          <w:rFonts w:ascii="Verdana" w:eastAsia="Calibri" w:hAnsi="Verdana" w:cs="Times New Roman"/>
          <w:b/>
          <w:sz w:val="16"/>
          <w:szCs w:val="16"/>
          <w:lang w:val="tr-TR"/>
        </w:rPr>
      </w:pPr>
    </w:p>
    <w:p w:rsidR="00540C6B" w:rsidRPr="00727490" w:rsidRDefault="00540C6B" w:rsidP="00540C6B">
      <w:pPr>
        <w:pStyle w:val="ListeParagraf"/>
        <w:numPr>
          <w:ilvl w:val="1"/>
          <w:numId w:val="12"/>
        </w:numPr>
        <w:ind w:right="284"/>
        <w:jc w:val="both"/>
        <w:rPr>
          <w:rFonts w:ascii="Verdana" w:eastAsia="Calibri" w:hAnsi="Verdana" w:cs="Times New Roman"/>
          <w:sz w:val="16"/>
          <w:szCs w:val="16"/>
          <w:lang w:val="tr-TR"/>
        </w:rPr>
      </w:pPr>
      <w:r w:rsidRPr="00727490">
        <w:rPr>
          <w:rFonts w:ascii="Verdana" w:eastAsia="Calibri" w:hAnsi="Verdana" w:cs="Times New Roman"/>
          <w:b/>
          <w:sz w:val="16"/>
          <w:szCs w:val="16"/>
          <w:lang w:val="tr-TR"/>
        </w:rPr>
        <w:t>İlam Niteliğinde Sayılma</w:t>
      </w:r>
    </w:p>
    <w:p w:rsidR="00C260A9" w:rsidRPr="00727490" w:rsidRDefault="00B579E2" w:rsidP="00C260A9">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A</w:t>
      </w:r>
      <w:r w:rsidR="00C260A9" w:rsidRPr="00727490">
        <w:rPr>
          <w:rFonts w:ascii="Verdana" w:eastAsia="Calibri" w:hAnsi="Verdana" w:cs="Times New Roman"/>
          <w:sz w:val="16"/>
          <w:szCs w:val="16"/>
          <w:lang w:val="tr-TR"/>
        </w:rPr>
        <w:t>rabuluculuk faaliyeti sonunda</w:t>
      </w:r>
      <w:r w:rsidRPr="00727490">
        <w:rPr>
          <w:rFonts w:ascii="Verdana" w:eastAsia="Calibri" w:hAnsi="Verdana" w:cs="Times New Roman"/>
          <w:sz w:val="16"/>
          <w:szCs w:val="16"/>
          <w:lang w:val="tr-TR"/>
        </w:rPr>
        <w:t>,</w:t>
      </w:r>
      <w:r w:rsidR="00C260A9" w:rsidRPr="00727490">
        <w:rPr>
          <w:rFonts w:ascii="Verdana" w:eastAsia="Calibri" w:hAnsi="Verdana" w:cs="Times New Roman"/>
          <w:sz w:val="16"/>
          <w:szCs w:val="16"/>
          <w:lang w:val="tr-TR"/>
        </w:rPr>
        <w:t xml:space="preserve"> anlaşma b</w:t>
      </w:r>
      <w:r w:rsidR="00B73319" w:rsidRPr="00727490">
        <w:rPr>
          <w:rFonts w:ascii="Verdana" w:eastAsia="Calibri" w:hAnsi="Verdana" w:cs="Times New Roman"/>
          <w:sz w:val="16"/>
          <w:szCs w:val="16"/>
          <w:lang w:val="tr-TR"/>
        </w:rPr>
        <w:t>elgesinin icra edilebilirliğine</w:t>
      </w:r>
      <w:r w:rsidRPr="00727490">
        <w:rPr>
          <w:rFonts w:ascii="Verdana" w:eastAsia="Calibri" w:hAnsi="Verdana" w:cs="Times New Roman"/>
          <w:sz w:val="16"/>
          <w:szCs w:val="16"/>
          <w:lang w:val="tr-TR"/>
        </w:rPr>
        <w:t xml:space="preserve"> </w:t>
      </w:r>
      <w:r w:rsidR="00C260A9" w:rsidRPr="00727490">
        <w:rPr>
          <w:rFonts w:ascii="Verdana" w:eastAsia="Calibri" w:hAnsi="Verdana" w:cs="Times New Roman"/>
          <w:sz w:val="16"/>
          <w:szCs w:val="16"/>
          <w:lang w:val="tr-TR"/>
        </w:rPr>
        <w:t>ilişkin</w:t>
      </w:r>
      <w:r w:rsidRPr="00727490">
        <w:rPr>
          <w:rFonts w:ascii="Verdana" w:eastAsia="Calibri" w:hAnsi="Verdana" w:cs="Times New Roman"/>
          <w:sz w:val="16"/>
          <w:szCs w:val="16"/>
          <w:lang w:val="tr-TR"/>
        </w:rPr>
        <w:t xml:space="preserve"> </w:t>
      </w:r>
      <w:r w:rsidR="00B73319" w:rsidRPr="00727490">
        <w:rPr>
          <w:rFonts w:ascii="Verdana" w:eastAsia="Calibri" w:hAnsi="Verdana" w:cs="Times New Roman"/>
          <w:sz w:val="16"/>
          <w:szCs w:val="16"/>
          <w:lang w:val="tr-TR"/>
        </w:rPr>
        <w:t>ilgili Mahkeme tarafından şerh verilmesi halinde, b</w:t>
      </w:r>
      <w:r w:rsidR="00C260A9" w:rsidRPr="00727490">
        <w:rPr>
          <w:rFonts w:ascii="Verdana" w:eastAsia="Calibri" w:hAnsi="Verdana" w:cs="Times New Roman"/>
          <w:sz w:val="16"/>
          <w:szCs w:val="16"/>
          <w:lang w:val="tr-TR"/>
        </w:rPr>
        <w:t>u şerhi içeren anlaşma, ilam niteliğinde belge sayılır.</w:t>
      </w:r>
    </w:p>
    <w:p w:rsidR="003D21CD" w:rsidRPr="00727490" w:rsidRDefault="003D21CD" w:rsidP="003D21CD">
      <w:pPr>
        <w:pStyle w:val="ListeParagraf"/>
        <w:numPr>
          <w:ilvl w:val="2"/>
          <w:numId w:val="12"/>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w:t>
      </w:r>
    </w:p>
    <w:p w:rsidR="00817CF9" w:rsidRPr="00727490" w:rsidRDefault="00817CF9" w:rsidP="00817CF9">
      <w:pPr>
        <w:pStyle w:val="ListeParagraf"/>
        <w:ind w:right="284"/>
        <w:jc w:val="both"/>
        <w:rPr>
          <w:rFonts w:ascii="Verdana" w:eastAsia="Calibri" w:hAnsi="Verdana" w:cs="Times New Roman"/>
          <w:sz w:val="16"/>
          <w:szCs w:val="16"/>
          <w:lang w:val="tr-TR"/>
        </w:rPr>
      </w:pPr>
    </w:p>
    <w:p w:rsidR="00540C6B" w:rsidRPr="00727490" w:rsidRDefault="00540C6B" w:rsidP="00B3042D">
      <w:pPr>
        <w:pStyle w:val="ListeParagraf"/>
        <w:numPr>
          <w:ilvl w:val="0"/>
          <w:numId w:val="5"/>
        </w:numPr>
        <w:tabs>
          <w:tab w:val="left" w:pos="6804"/>
        </w:tabs>
        <w:ind w:right="284"/>
        <w:jc w:val="both"/>
        <w:rPr>
          <w:rFonts w:ascii="Verdana" w:eastAsia="Calibri" w:hAnsi="Verdana" w:cs="Times New Roman"/>
          <w:b/>
          <w:sz w:val="16"/>
          <w:szCs w:val="16"/>
          <w:highlight w:val="lightGray"/>
          <w:lang w:val="tr-TR"/>
        </w:rPr>
      </w:pPr>
      <w:r w:rsidRPr="00727490">
        <w:rPr>
          <w:rFonts w:ascii="Verdana" w:eastAsia="Calibri" w:hAnsi="Verdana" w:cs="Times New Roman"/>
          <w:b/>
          <w:sz w:val="16"/>
          <w:szCs w:val="16"/>
          <w:highlight w:val="lightGray"/>
          <w:lang w:val="tr-TR"/>
        </w:rPr>
        <w:t>ARABULUCULUK ÜCRETİ</w:t>
      </w:r>
      <w:r w:rsidR="00641144" w:rsidRPr="00727490">
        <w:rPr>
          <w:rFonts w:ascii="Verdana" w:eastAsia="Calibri" w:hAnsi="Verdana" w:cs="Times New Roman"/>
          <w:b/>
          <w:sz w:val="16"/>
          <w:szCs w:val="16"/>
          <w:highlight w:val="lightGray"/>
          <w:lang w:val="tr-TR"/>
        </w:rPr>
        <w:tab/>
      </w:r>
      <w:r w:rsidRPr="00727490">
        <w:rPr>
          <w:rFonts w:ascii="Verdana" w:eastAsia="Calibri" w:hAnsi="Verdana" w:cs="Times New Roman"/>
          <w:b/>
          <w:sz w:val="16"/>
          <w:szCs w:val="16"/>
          <w:highlight w:val="lightGray"/>
          <w:lang w:val="tr-TR"/>
        </w:rPr>
        <w:t xml:space="preserve">: </w:t>
      </w:r>
    </w:p>
    <w:p w:rsidR="00335874" w:rsidRPr="00727490" w:rsidRDefault="00335874" w:rsidP="00335874">
      <w:pPr>
        <w:pStyle w:val="ListeParagraf"/>
        <w:ind w:right="284"/>
        <w:jc w:val="both"/>
        <w:rPr>
          <w:rFonts w:ascii="Verdana" w:eastAsia="Calibri" w:hAnsi="Verdana" w:cs="Times New Roman"/>
          <w:sz w:val="16"/>
          <w:szCs w:val="16"/>
          <w:lang w:val="tr-TR"/>
        </w:rPr>
      </w:pPr>
    </w:p>
    <w:p w:rsidR="00211E2F" w:rsidRPr="00727490" w:rsidRDefault="00540C6B" w:rsidP="00211E2F">
      <w:pPr>
        <w:pStyle w:val="ListeParagraf"/>
        <w:numPr>
          <w:ilvl w:val="1"/>
          <w:numId w:val="13"/>
        </w:numPr>
        <w:ind w:right="284"/>
        <w:jc w:val="both"/>
        <w:rPr>
          <w:rFonts w:ascii="Verdana" w:eastAsia="Calibri" w:hAnsi="Verdana" w:cs="Times New Roman"/>
          <w:sz w:val="16"/>
          <w:szCs w:val="16"/>
          <w:lang w:val="tr-TR"/>
        </w:rPr>
      </w:pPr>
      <w:r w:rsidRPr="00727490">
        <w:rPr>
          <w:rFonts w:ascii="Verdana" w:eastAsia="Calibri" w:hAnsi="Verdana" w:cs="Times New Roman"/>
          <w:sz w:val="16"/>
          <w:szCs w:val="16"/>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sidR="00335ABA" w:rsidRPr="00727490">
        <w:rPr>
          <w:rFonts w:ascii="Verdana" w:eastAsia="Calibri" w:hAnsi="Verdana" w:cs="Times New Roman"/>
          <w:sz w:val="16"/>
          <w:szCs w:val="16"/>
          <w:lang w:val="tr-TR"/>
        </w:rPr>
        <w:t xml:space="preserve"> </w:t>
      </w:r>
    </w:p>
    <w:p w:rsidR="00540C6B" w:rsidRPr="00727490" w:rsidRDefault="00540C6B" w:rsidP="00195802">
      <w:pPr>
        <w:ind w:right="284" w:firstLine="708"/>
        <w:contextualSpacing/>
        <w:jc w:val="both"/>
        <w:rPr>
          <w:rFonts w:ascii="Verdana" w:eastAsia="Calibri" w:hAnsi="Verdana" w:cs="Times New Roman"/>
          <w:b/>
          <w:sz w:val="16"/>
          <w:szCs w:val="16"/>
          <w:lang w:val="tr-TR"/>
        </w:rPr>
      </w:pPr>
      <w:r w:rsidRPr="00727490">
        <w:rPr>
          <w:rFonts w:ascii="Verdana" w:eastAsia="Calibri" w:hAnsi="Verdana" w:cs="Times New Roman"/>
          <w:b/>
          <w:sz w:val="16"/>
          <w:szCs w:val="16"/>
          <w:lang w:val="tr-TR"/>
        </w:rPr>
        <w:t xml:space="preserve">Adalet Bakanlığı Arabuluculuk Daire Başkanlığının </w:t>
      </w:r>
      <w:proofErr w:type="spellStart"/>
      <w:r w:rsidR="001F367A" w:rsidRPr="00727490">
        <w:rPr>
          <w:rFonts w:ascii="Verdana" w:eastAsia="Calibri" w:hAnsi="Verdana" w:cs="Times New Roman"/>
          <w:b/>
          <w:color w:val="FF0000"/>
          <w:sz w:val="16"/>
          <w:szCs w:val="16"/>
          <w:lang w:val="tr-TR"/>
        </w:rPr>
        <w:t>xxxx</w:t>
      </w:r>
      <w:proofErr w:type="spellEnd"/>
      <w:r w:rsidR="00A8370B" w:rsidRPr="00727490">
        <w:rPr>
          <w:rFonts w:ascii="Verdana" w:eastAsia="Calibri" w:hAnsi="Verdana" w:cs="Times New Roman"/>
          <w:b/>
          <w:sz w:val="16"/>
          <w:szCs w:val="16"/>
          <w:lang w:val="tr-TR"/>
        </w:rPr>
        <w:t xml:space="preserve"> Sicil numaralı</w:t>
      </w:r>
      <w:r w:rsidR="003E2C46" w:rsidRPr="00727490">
        <w:rPr>
          <w:rFonts w:ascii="Verdana" w:eastAsia="Calibri" w:hAnsi="Verdana" w:cs="Times New Roman"/>
          <w:b/>
          <w:sz w:val="16"/>
          <w:szCs w:val="16"/>
          <w:lang w:val="tr-TR"/>
        </w:rPr>
        <w:t xml:space="preserve"> Arabulucu Arb. </w:t>
      </w:r>
      <w:proofErr w:type="gramStart"/>
      <w:r w:rsidR="003E2C46" w:rsidRPr="00727490">
        <w:rPr>
          <w:rFonts w:ascii="Verdana" w:eastAsia="Calibri" w:hAnsi="Verdana" w:cs="Times New Roman"/>
          <w:b/>
          <w:sz w:val="16"/>
          <w:szCs w:val="16"/>
          <w:lang w:val="tr-TR"/>
        </w:rPr>
        <w:t>………………..</w:t>
      </w:r>
      <w:proofErr w:type="gramEnd"/>
      <w:r w:rsidR="003E2C46" w:rsidRPr="00727490">
        <w:rPr>
          <w:rFonts w:ascii="Verdana" w:eastAsia="Calibri" w:hAnsi="Verdana" w:cs="Times New Roman"/>
          <w:b/>
          <w:sz w:val="16"/>
          <w:szCs w:val="16"/>
          <w:lang w:val="tr-TR"/>
        </w:rPr>
        <w:t xml:space="preserve"> </w:t>
      </w:r>
      <w:proofErr w:type="gramStart"/>
      <w:r w:rsidR="003E2C46" w:rsidRPr="00727490">
        <w:rPr>
          <w:rFonts w:ascii="Verdana" w:eastAsia="Calibri" w:hAnsi="Verdana" w:cs="Times New Roman"/>
          <w:b/>
          <w:sz w:val="16"/>
          <w:szCs w:val="16"/>
          <w:lang w:val="tr-TR"/>
        </w:rPr>
        <w:t>………………………</w:t>
      </w:r>
      <w:proofErr w:type="gramEnd"/>
      <w:r w:rsidRPr="00727490">
        <w:rPr>
          <w:rFonts w:ascii="Verdana" w:eastAsia="Calibri" w:hAnsi="Verdana" w:cs="Times New Roman"/>
          <w:b/>
          <w:sz w:val="16"/>
          <w:szCs w:val="16"/>
          <w:lang w:val="tr-TR"/>
        </w:rPr>
        <w:t xml:space="preserve"> </w:t>
      </w:r>
      <w:proofErr w:type="gramStart"/>
      <w:r w:rsidRPr="00727490">
        <w:rPr>
          <w:rFonts w:ascii="Verdana" w:eastAsia="Calibri" w:hAnsi="Verdana" w:cs="Times New Roman"/>
          <w:b/>
          <w:sz w:val="16"/>
          <w:szCs w:val="16"/>
          <w:lang w:val="tr-TR"/>
        </w:rPr>
        <w:t>tarafından</w:t>
      </w:r>
      <w:proofErr w:type="gramEnd"/>
      <w:r w:rsidRPr="00727490">
        <w:rPr>
          <w:rFonts w:ascii="Verdana" w:eastAsia="Calibri" w:hAnsi="Verdana" w:cs="Times New Roman"/>
          <w:b/>
          <w:sz w:val="16"/>
          <w:szCs w:val="16"/>
          <w:lang w:val="tr-TR"/>
        </w:rPr>
        <w:t xml:space="preserve">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sidRPr="00727490">
        <w:rPr>
          <w:rFonts w:ascii="Verdana" w:eastAsia="Calibri" w:hAnsi="Verdana" w:cs="Times New Roman"/>
          <w:b/>
          <w:sz w:val="16"/>
          <w:szCs w:val="16"/>
          <w:lang w:val="tr-TR"/>
        </w:rPr>
        <w:t>ularımız yanıtlanmıştır. İş bu 5</w:t>
      </w:r>
      <w:r w:rsidRPr="00727490">
        <w:rPr>
          <w:rFonts w:ascii="Verdana" w:eastAsia="Calibri" w:hAnsi="Verdana" w:cs="Times New Roman"/>
          <w:b/>
          <w:sz w:val="16"/>
          <w:szCs w:val="16"/>
          <w:lang w:val="tr-TR"/>
        </w:rPr>
        <w:t xml:space="preserve"> sayfadan ibaret tutanak birlikte okunmuş, anlaşılmış ve imza altına alınmıştır. </w:t>
      </w:r>
      <w:r w:rsidR="003E2C46" w:rsidRPr="00727490">
        <w:rPr>
          <w:rFonts w:ascii="Verdana" w:eastAsia="Calibri" w:hAnsi="Verdana" w:cs="Times New Roman"/>
          <w:b/>
          <w:sz w:val="16"/>
          <w:szCs w:val="16"/>
          <w:lang w:val="tr-TR"/>
        </w:rPr>
        <w:t xml:space="preserve"> 00.00.0000</w:t>
      </w:r>
    </w:p>
    <w:p w:rsidR="00A8370B" w:rsidRPr="00727490" w:rsidRDefault="002C0902" w:rsidP="00A8370B">
      <w:pPr>
        <w:pStyle w:val="AralkYok"/>
        <w:tabs>
          <w:tab w:val="left" w:pos="2552"/>
          <w:tab w:val="left" w:pos="2835"/>
        </w:tabs>
        <w:rPr>
          <w:rFonts w:ascii="Verdana" w:hAnsi="Verdana"/>
          <w:sz w:val="16"/>
          <w:szCs w:val="16"/>
        </w:rPr>
      </w:pPr>
      <w:r w:rsidRPr="00727490">
        <w:rPr>
          <w:rFonts w:ascii="Verdana" w:hAnsi="Verdana"/>
          <w:b/>
          <w:sz w:val="16"/>
          <w:szCs w:val="16"/>
          <w:u w:val="single"/>
        </w:rPr>
        <w:t>Arabulucu</w:t>
      </w:r>
      <w:r w:rsidR="00A8370B" w:rsidRPr="00727490">
        <w:rPr>
          <w:rFonts w:ascii="Verdana" w:hAnsi="Verdana"/>
          <w:b/>
          <w:sz w:val="16"/>
          <w:szCs w:val="16"/>
          <w:u w:val="single"/>
        </w:rPr>
        <w:t xml:space="preserve"> </w:t>
      </w:r>
      <w:r w:rsidR="00A8370B" w:rsidRPr="00727490">
        <w:rPr>
          <w:rFonts w:ascii="Verdana" w:hAnsi="Verdana"/>
          <w:b/>
          <w:sz w:val="16"/>
          <w:szCs w:val="16"/>
          <w:u w:val="single"/>
        </w:rPr>
        <w:tab/>
        <w:t>:</w:t>
      </w:r>
      <w:r w:rsidR="00A8370B" w:rsidRPr="00727490">
        <w:rPr>
          <w:rFonts w:ascii="Verdana" w:hAnsi="Verdana"/>
          <w:sz w:val="16"/>
          <w:szCs w:val="16"/>
        </w:rPr>
        <w:tab/>
      </w:r>
    </w:p>
    <w:p w:rsidR="002C0902" w:rsidRPr="00727490" w:rsidRDefault="002C0902" w:rsidP="002C0902">
      <w:pPr>
        <w:pStyle w:val="AralkYok"/>
        <w:tabs>
          <w:tab w:val="left" w:pos="2552"/>
          <w:tab w:val="left" w:pos="2835"/>
          <w:tab w:val="left" w:pos="3261"/>
          <w:tab w:val="left" w:pos="3544"/>
        </w:tabs>
        <w:rPr>
          <w:rFonts w:ascii="Verdana" w:hAnsi="Verdana"/>
          <w:sz w:val="16"/>
          <w:szCs w:val="16"/>
        </w:rPr>
      </w:pPr>
    </w:p>
    <w:p w:rsidR="002C0902" w:rsidRPr="00727490" w:rsidRDefault="003922E7" w:rsidP="002C0902">
      <w:pPr>
        <w:pStyle w:val="AralkYok"/>
        <w:tabs>
          <w:tab w:val="left" w:pos="2552"/>
          <w:tab w:val="left" w:pos="2835"/>
        </w:tabs>
        <w:rPr>
          <w:rFonts w:ascii="Verdana" w:hAnsi="Verdana"/>
          <w:b/>
          <w:sz w:val="16"/>
          <w:szCs w:val="16"/>
        </w:rPr>
      </w:pPr>
      <w:r w:rsidRPr="00727490">
        <w:rPr>
          <w:rFonts w:ascii="Verdana" w:hAnsi="Verdana"/>
          <w:b/>
          <w:sz w:val="16"/>
          <w:szCs w:val="16"/>
          <w:u w:val="single"/>
        </w:rPr>
        <w:t>Başvuran Taraf (</w:t>
      </w:r>
      <w:r w:rsidR="002C0902" w:rsidRPr="00727490">
        <w:rPr>
          <w:rFonts w:ascii="Verdana" w:hAnsi="Verdana"/>
          <w:b/>
          <w:sz w:val="16"/>
          <w:szCs w:val="16"/>
          <w:u w:val="single"/>
        </w:rPr>
        <w:t>1</w:t>
      </w:r>
      <w:r w:rsidRPr="00727490">
        <w:rPr>
          <w:rFonts w:ascii="Verdana" w:hAnsi="Verdana"/>
          <w:b/>
          <w:sz w:val="16"/>
          <w:szCs w:val="16"/>
          <w:u w:val="single"/>
        </w:rPr>
        <w:t>)</w:t>
      </w:r>
      <w:r w:rsidR="002C0902" w:rsidRPr="00727490">
        <w:rPr>
          <w:rFonts w:ascii="Verdana" w:hAnsi="Verdana"/>
          <w:b/>
          <w:sz w:val="16"/>
          <w:szCs w:val="16"/>
          <w:u w:val="single"/>
        </w:rPr>
        <w:t xml:space="preserve"> </w:t>
      </w:r>
      <w:r w:rsidR="002C0902" w:rsidRPr="00727490">
        <w:rPr>
          <w:rFonts w:ascii="Verdana" w:hAnsi="Verdana"/>
          <w:b/>
          <w:sz w:val="16"/>
          <w:szCs w:val="16"/>
          <w:u w:val="single"/>
        </w:rPr>
        <w:tab/>
      </w:r>
      <w:r w:rsidR="003E2C46" w:rsidRPr="00727490">
        <w:rPr>
          <w:rFonts w:ascii="Verdana" w:hAnsi="Verdana"/>
          <w:b/>
          <w:sz w:val="16"/>
          <w:szCs w:val="16"/>
        </w:rPr>
        <w:t>:</w:t>
      </w:r>
      <w:r w:rsidR="003E2C46" w:rsidRPr="00727490">
        <w:rPr>
          <w:rFonts w:ascii="Verdana" w:hAnsi="Verdana"/>
          <w:b/>
          <w:sz w:val="16"/>
          <w:szCs w:val="16"/>
        </w:rPr>
        <w:tab/>
      </w:r>
    </w:p>
    <w:p w:rsidR="003922E7" w:rsidRPr="00727490" w:rsidRDefault="002C0902" w:rsidP="002C0902">
      <w:pPr>
        <w:pStyle w:val="AralkYok"/>
        <w:tabs>
          <w:tab w:val="left" w:pos="2552"/>
          <w:tab w:val="left" w:pos="2835"/>
        </w:tabs>
        <w:rPr>
          <w:rFonts w:ascii="Verdana" w:hAnsi="Verdana"/>
          <w:sz w:val="16"/>
          <w:szCs w:val="16"/>
        </w:rPr>
      </w:pP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r w:rsidRPr="00727490">
        <w:rPr>
          <w:rFonts w:ascii="Verdana" w:hAnsi="Verdana"/>
          <w:sz w:val="16"/>
          <w:szCs w:val="16"/>
        </w:rPr>
        <w:tab/>
      </w:r>
    </w:p>
    <w:p w:rsidR="002C0902" w:rsidRPr="00727490" w:rsidRDefault="003922E7" w:rsidP="002C0902">
      <w:pPr>
        <w:pStyle w:val="AralkYok"/>
        <w:tabs>
          <w:tab w:val="left" w:pos="2552"/>
          <w:tab w:val="left" w:pos="2835"/>
        </w:tabs>
        <w:rPr>
          <w:rFonts w:ascii="Verdana" w:hAnsi="Verdana"/>
          <w:b/>
          <w:sz w:val="16"/>
          <w:szCs w:val="16"/>
        </w:rPr>
      </w:pPr>
      <w:r w:rsidRPr="00727490">
        <w:rPr>
          <w:rFonts w:ascii="Verdana" w:hAnsi="Verdana"/>
          <w:b/>
          <w:sz w:val="16"/>
          <w:szCs w:val="16"/>
          <w:u w:val="single"/>
        </w:rPr>
        <w:t xml:space="preserve">Diğer </w:t>
      </w:r>
      <w:r w:rsidR="002C0902" w:rsidRPr="00727490">
        <w:rPr>
          <w:rFonts w:ascii="Verdana" w:hAnsi="Verdana"/>
          <w:b/>
          <w:sz w:val="16"/>
          <w:szCs w:val="16"/>
          <w:u w:val="single"/>
        </w:rPr>
        <w:t>Taraf</w:t>
      </w:r>
      <w:r w:rsidRPr="00727490">
        <w:rPr>
          <w:rFonts w:ascii="Verdana" w:hAnsi="Verdana"/>
          <w:b/>
          <w:sz w:val="16"/>
          <w:szCs w:val="16"/>
          <w:u w:val="single"/>
        </w:rPr>
        <w:t xml:space="preserve"> (</w:t>
      </w:r>
      <w:r w:rsidR="002C0902" w:rsidRPr="00727490">
        <w:rPr>
          <w:rFonts w:ascii="Verdana" w:hAnsi="Verdana"/>
          <w:b/>
          <w:sz w:val="16"/>
          <w:szCs w:val="16"/>
          <w:u w:val="single"/>
        </w:rPr>
        <w:t>2</w:t>
      </w:r>
      <w:r w:rsidRPr="00727490">
        <w:rPr>
          <w:rFonts w:ascii="Verdana" w:hAnsi="Verdana"/>
          <w:b/>
          <w:sz w:val="16"/>
          <w:szCs w:val="16"/>
          <w:u w:val="single"/>
        </w:rPr>
        <w:t>)</w:t>
      </w:r>
      <w:r w:rsidR="002C0902" w:rsidRPr="00727490">
        <w:rPr>
          <w:rFonts w:ascii="Verdana" w:hAnsi="Verdana"/>
          <w:b/>
          <w:sz w:val="16"/>
          <w:szCs w:val="16"/>
          <w:u w:val="single"/>
        </w:rPr>
        <w:t xml:space="preserve"> </w:t>
      </w:r>
      <w:r w:rsidR="002C0902" w:rsidRPr="00727490">
        <w:rPr>
          <w:rFonts w:ascii="Verdana" w:hAnsi="Verdana"/>
          <w:b/>
          <w:sz w:val="16"/>
          <w:szCs w:val="16"/>
          <w:u w:val="single"/>
        </w:rPr>
        <w:tab/>
        <w:t>:</w:t>
      </w:r>
      <w:r w:rsidR="002C0902" w:rsidRPr="00727490">
        <w:rPr>
          <w:rFonts w:ascii="Verdana" w:hAnsi="Verdana"/>
          <w:b/>
          <w:sz w:val="16"/>
          <w:szCs w:val="16"/>
        </w:rPr>
        <w:tab/>
      </w:r>
    </w:p>
    <w:p w:rsidR="002C0902" w:rsidRPr="00727490" w:rsidRDefault="003E2C46" w:rsidP="002C0902">
      <w:pPr>
        <w:pStyle w:val="AralkYok"/>
        <w:tabs>
          <w:tab w:val="left" w:pos="2552"/>
          <w:tab w:val="left" w:pos="2835"/>
        </w:tabs>
        <w:rPr>
          <w:rFonts w:ascii="Verdana" w:hAnsi="Verdana"/>
          <w:b/>
          <w:sz w:val="16"/>
          <w:szCs w:val="16"/>
        </w:rPr>
      </w:pPr>
      <w:r w:rsidRPr="00727490">
        <w:rPr>
          <w:rFonts w:ascii="Verdana" w:hAnsi="Verdana"/>
          <w:b/>
          <w:sz w:val="16"/>
          <w:szCs w:val="16"/>
        </w:rPr>
        <w:tab/>
      </w:r>
      <w:r w:rsidRPr="00727490">
        <w:rPr>
          <w:rFonts w:ascii="Verdana" w:hAnsi="Verdana"/>
          <w:b/>
          <w:sz w:val="16"/>
          <w:szCs w:val="16"/>
        </w:rPr>
        <w:tab/>
      </w:r>
    </w:p>
    <w:p w:rsidR="00211E2F" w:rsidRPr="00727490" w:rsidRDefault="002C0902" w:rsidP="00A8370B">
      <w:pPr>
        <w:pStyle w:val="AralkYok"/>
        <w:tabs>
          <w:tab w:val="left" w:pos="2552"/>
          <w:tab w:val="left" w:pos="2835"/>
        </w:tabs>
        <w:rPr>
          <w:rFonts w:ascii="Verdana" w:hAnsi="Verdana"/>
          <w:b/>
          <w:sz w:val="16"/>
          <w:szCs w:val="16"/>
          <w:u w:val="single"/>
        </w:rPr>
      </w:pPr>
      <w:r w:rsidRPr="00727490">
        <w:rPr>
          <w:rFonts w:ascii="Verdana" w:hAnsi="Verdana"/>
          <w:sz w:val="16"/>
          <w:szCs w:val="16"/>
          <w:u w:val="single"/>
        </w:rPr>
        <w:t>VEKİLİ</w:t>
      </w:r>
      <w:r w:rsidRPr="00727490">
        <w:rPr>
          <w:rFonts w:ascii="Verdana" w:hAnsi="Verdana"/>
          <w:sz w:val="16"/>
          <w:szCs w:val="16"/>
          <w:u w:val="single"/>
        </w:rPr>
        <w:tab/>
        <w:t>:</w:t>
      </w:r>
      <w:r w:rsidRPr="00727490">
        <w:rPr>
          <w:rFonts w:ascii="Verdana" w:hAnsi="Verdana"/>
          <w:sz w:val="16"/>
          <w:szCs w:val="16"/>
        </w:rPr>
        <w:tab/>
      </w:r>
    </w:p>
    <w:sectPr w:rsidR="00211E2F" w:rsidRPr="00727490" w:rsidSect="005D2BF3">
      <w:headerReference w:type="default" r:id="rId9"/>
      <w:footerReference w:type="default" r:id="rId10"/>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A8" w:rsidRDefault="00D775A8">
      <w:pPr>
        <w:spacing w:after="0" w:line="240" w:lineRule="auto"/>
      </w:pPr>
      <w:r>
        <w:separator/>
      </w:r>
    </w:p>
  </w:endnote>
  <w:endnote w:type="continuationSeparator" w:id="0">
    <w:p w:rsidR="00D775A8" w:rsidRDefault="00D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BD34DE" w:rsidRPr="00BD34DE">
      <w:rPr>
        <w:rFonts w:asciiTheme="majorHAnsi" w:eastAsiaTheme="majorEastAsia" w:hAnsiTheme="majorHAnsi" w:cstheme="majorBidi"/>
        <w:noProof/>
        <w:lang w:val="tr-TR"/>
      </w:rPr>
      <w:t>3</w:t>
    </w:r>
    <w:r>
      <w:rPr>
        <w:rFonts w:asciiTheme="majorHAnsi" w:eastAsiaTheme="majorEastAsia" w:hAnsiTheme="majorHAnsi" w:cstheme="majorBidi"/>
      </w:rPr>
      <w:fldChar w:fldCharType="end"/>
    </w:r>
  </w:p>
  <w:p w:rsidR="006B6B78" w:rsidRPr="006B4D8A" w:rsidRDefault="00BD34DE"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A8" w:rsidRDefault="00D775A8">
      <w:pPr>
        <w:spacing w:after="0" w:line="240" w:lineRule="auto"/>
      </w:pPr>
      <w:r>
        <w:separator/>
      </w:r>
    </w:p>
  </w:footnote>
  <w:footnote w:type="continuationSeparator" w:id="0">
    <w:p w:rsidR="00D775A8" w:rsidRDefault="00D7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BD34DE"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813401833"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33591"/>
    <w:rsid w:val="0008721B"/>
    <w:rsid w:val="00090E88"/>
    <w:rsid w:val="00114B99"/>
    <w:rsid w:val="00133887"/>
    <w:rsid w:val="001411B8"/>
    <w:rsid w:val="001446A0"/>
    <w:rsid w:val="00147F42"/>
    <w:rsid w:val="00182D2D"/>
    <w:rsid w:val="00195802"/>
    <w:rsid w:val="001B459D"/>
    <w:rsid w:val="001D6629"/>
    <w:rsid w:val="001F367A"/>
    <w:rsid w:val="00201ECE"/>
    <w:rsid w:val="00211E2F"/>
    <w:rsid w:val="002242C0"/>
    <w:rsid w:val="00231D85"/>
    <w:rsid w:val="00244E12"/>
    <w:rsid w:val="00255148"/>
    <w:rsid w:val="00274F12"/>
    <w:rsid w:val="002A22C5"/>
    <w:rsid w:val="002C0902"/>
    <w:rsid w:val="00320C63"/>
    <w:rsid w:val="00323813"/>
    <w:rsid w:val="00335874"/>
    <w:rsid w:val="00335ABA"/>
    <w:rsid w:val="003375A9"/>
    <w:rsid w:val="00340A97"/>
    <w:rsid w:val="003415A0"/>
    <w:rsid w:val="00345F17"/>
    <w:rsid w:val="003519F2"/>
    <w:rsid w:val="00364174"/>
    <w:rsid w:val="003773A1"/>
    <w:rsid w:val="003922E7"/>
    <w:rsid w:val="003A132A"/>
    <w:rsid w:val="003D21CD"/>
    <w:rsid w:val="003E2C46"/>
    <w:rsid w:val="003F51D7"/>
    <w:rsid w:val="004725C8"/>
    <w:rsid w:val="0050020B"/>
    <w:rsid w:val="0051394B"/>
    <w:rsid w:val="00540AA5"/>
    <w:rsid w:val="00540C6B"/>
    <w:rsid w:val="0055675F"/>
    <w:rsid w:val="00587455"/>
    <w:rsid w:val="005E5FA1"/>
    <w:rsid w:val="006361C5"/>
    <w:rsid w:val="00641144"/>
    <w:rsid w:val="00696182"/>
    <w:rsid w:val="006A2BE7"/>
    <w:rsid w:val="006A4896"/>
    <w:rsid w:val="006A66BC"/>
    <w:rsid w:val="006F0C7E"/>
    <w:rsid w:val="00724C56"/>
    <w:rsid w:val="00727490"/>
    <w:rsid w:val="00733812"/>
    <w:rsid w:val="0074747C"/>
    <w:rsid w:val="00757A92"/>
    <w:rsid w:val="007715D0"/>
    <w:rsid w:val="007733D8"/>
    <w:rsid w:val="008132C0"/>
    <w:rsid w:val="00814DE9"/>
    <w:rsid w:val="0081680B"/>
    <w:rsid w:val="00817CF9"/>
    <w:rsid w:val="008538C5"/>
    <w:rsid w:val="00861BCD"/>
    <w:rsid w:val="008849CD"/>
    <w:rsid w:val="008A0537"/>
    <w:rsid w:val="008A2004"/>
    <w:rsid w:val="008A7AD1"/>
    <w:rsid w:val="008E13F3"/>
    <w:rsid w:val="008E6239"/>
    <w:rsid w:val="008F0986"/>
    <w:rsid w:val="008F3539"/>
    <w:rsid w:val="009260B4"/>
    <w:rsid w:val="0093043E"/>
    <w:rsid w:val="00931916"/>
    <w:rsid w:val="00945A32"/>
    <w:rsid w:val="009D7746"/>
    <w:rsid w:val="00A32E89"/>
    <w:rsid w:val="00A47159"/>
    <w:rsid w:val="00A53914"/>
    <w:rsid w:val="00A54833"/>
    <w:rsid w:val="00A66DE8"/>
    <w:rsid w:val="00A8370B"/>
    <w:rsid w:val="00A8748A"/>
    <w:rsid w:val="00AC75C4"/>
    <w:rsid w:val="00B10C62"/>
    <w:rsid w:val="00B3042D"/>
    <w:rsid w:val="00B37862"/>
    <w:rsid w:val="00B520C6"/>
    <w:rsid w:val="00B579E2"/>
    <w:rsid w:val="00B73319"/>
    <w:rsid w:val="00B80BE9"/>
    <w:rsid w:val="00BD34DE"/>
    <w:rsid w:val="00C121B3"/>
    <w:rsid w:val="00C260A9"/>
    <w:rsid w:val="00C66BF9"/>
    <w:rsid w:val="00C723CA"/>
    <w:rsid w:val="00CA7C8F"/>
    <w:rsid w:val="00CB1311"/>
    <w:rsid w:val="00D14F08"/>
    <w:rsid w:val="00D32416"/>
    <w:rsid w:val="00D523F4"/>
    <w:rsid w:val="00D775A8"/>
    <w:rsid w:val="00DB4637"/>
    <w:rsid w:val="00DC1FE3"/>
    <w:rsid w:val="00DE2CB4"/>
    <w:rsid w:val="00DE708A"/>
    <w:rsid w:val="00DF049F"/>
    <w:rsid w:val="00E20849"/>
    <w:rsid w:val="00E3293D"/>
    <w:rsid w:val="00E358BD"/>
    <w:rsid w:val="00E64890"/>
    <w:rsid w:val="00E73952"/>
    <w:rsid w:val="00EB448B"/>
    <w:rsid w:val="00EB7F37"/>
    <w:rsid w:val="00EC5CF2"/>
    <w:rsid w:val="00ED1025"/>
    <w:rsid w:val="00EF368A"/>
    <w:rsid w:val="00F222E9"/>
    <w:rsid w:val="00F65F7B"/>
    <w:rsid w:val="00FD5B24"/>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2695</Words>
  <Characters>15364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4</cp:revision>
  <cp:lastPrinted>2019-09-24T11:57:00Z</cp:lastPrinted>
  <dcterms:created xsi:type="dcterms:W3CDTF">2025-07-02T15:15:00Z</dcterms:created>
  <dcterms:modified xsi:type="dcterms:W3CDTF">2025-07-07T10:57:00Z</dcterms:modified>
</cp:coreProperties>
</file>